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6D7" w:rsidRPr="005436D7" w:rsidRDefault="005436D7" w:rsidP="005436D7">
      <w:pPr>
        <w:spacing w:after="0" w:line="240" w:lineRule="auto"/>
        <w:jc w:val="center"/>
        <w:rPr>
          <w:rFonts w:ascii="Arial" w:hAnsi="Arial" w:cs="Arial"/>
          <w:b/>
          <w:color w:val="000000"/>
        </w:rPr>
      </w:pPr>
      <w:bookmarkStart w:id="0" w:name="_GoBack"/>
      <w:bookmarkEnd w:id="0"/>
      <w:r w:rsidRPr="005436D7">
        <w:rPr>
          <w:rFonts w:ascii="Arial" w:hAnsi="Arial" w:cs="Arial"/>
          <w:b/>
          <w:noProof/>
          <w:lang w:eastAsia="fr-FR"/>
        </w:rPr>
        <w:drawing>
          <wp:anchor distT="0" distB="0" distL="114300" distR="114300" simplePos="0" relativeHeight="251656192" behindDoc="1" locked="0" layoutInCell="1" allowOverlap="1">
            <wp:simplePos x="0" y="0"/>
            <wp:positionH relativeFrom="column">
              <wp:posOffset>-24130</wp:posOffset>
            </wp:positionH>
            <wp:positionV relativeFrom="paragraph">
              <wp:posOffset>-81280</wp:posOffset>
            </wp:positionV>
            <wp:extent cx="1171575" cy="1164590"/>
            <wp:effectExtent l="0" t="0" r="9525" b="0"/>
            <wp:wrapTight wrapText="bothSides">
              <wp:wrapPolygon edited="0">
                <wp:start x="0" y="0"/>
                <wp:lineTo x="0" y="21200"/>
                <wp:lineTo x="21424" y="21200"/>
                <wp:lineTo x="21424" y="0"/>
                <wp:lineTo x="0" y="0"/>
              </wp:wrapPolygon>
            </wp:wrapTight>
            <wp:docPr id="2" name="Image 2" descr="Logo_P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Logo_PE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D7">
        <w:rPr>
          <w:rFonts w:ascii="Arial" w:hAnsi="Arial" w:cs="Arial"/>
          <w:b/>
          <w:color w:val="000000"/>
        </w:rPr>
        <w:t>COMMUNE DU PEAGE DE ROUSSILLON</w:t>
      </w:r>
    </w:p>
    <w:p w:rsidR="005436D7" w:rsidRDefault="005436D7" w:rsidP="005436D7">
      <w:pPr>
        <w:spacing w:after="0" w:line="240" w:lineRule="auto"/>
        <w:rPr>
          <w:rFonts w:ascii="Arial" w:hAnsi="Arial" w:cs="Arial"/>
          <w:color w:val="000000"/>
        </w:rPr>
      </w:pPr>
    </w:p>
    <w:p w:rsidR="00102C3F" w:rsidRPr="005436D7" w:rsidRDefault="00102C3F" w:rsidP="005436D7">
      <w:pPr>
        <w:spacing w:after="0" w:line="240" w:lineRule="auto"/>
        <w:rPr>
          <w:rFonts w:ascii="Arial" w:hAnsi="Arial" w:cs="Arial"/>
          <w:color w:val="000000"/>
        </w:rPr>
      </w:pPr>
    </w:p>
    <w:p w:rsidR="005436D7" w:rsidRPr="005436D7" w:rsidRDefault="005436D7" w:rsidP="005436D7">
      <w:pPr>
        <w:spacing w:after="0" w:line="240" w:lineRule="auto"/>
        <w:jc w:val="center"/>
        <w:rPr>
          <w:rFonts w:ascii="Arial" w:hAnsi="Arial" w:cs="Arial"/>
          <w:b/>
          <w:sz w:val="28"/>
          <w:szCs w:val="28"/>
          <w:u w:val="single"/>
        </w:rPr>
      </w:pPr>
      <w:r w:rsidRPr="005436D7">
        <w:rPr>
          <w:rFonts w:ascii="Arial" w:hAnsi="Arial" w:cs="Arial"/>
          <w:b/>
          <w:sz w:val="28"/>
          <w:szCs w:val="28"/>
          <w:u w:val="single"/>
        </w:rPr>
        <w:t xml:space="preserve">CONSEIL MUNICIPAL </w:t>
      </w:r>
      <w:r w:rsidR="00E665C1">
        <w:rPr>
          <w:rFonts w:ascii="Arial" w:hAnsi="Arial" w:cs="Arial"/>
          <w:b/>
          <w:sz w:val="28"/>
          <w:szCs w:val="28"/>
          <w:u w:val="single"/>
        </w:rPr>
        <w:t xml:space="preserve">DU </w:t>
      </w:r>
      <w:r w:rsidR="00E20D99">
        <w:rPr>
          <w:rFonts w:ascii="Arial" w:hAnsi="Arial" w:cs="Arial"/>
          <w:b/>
          <w:sz w:val="28"/>
          <w:szCs w:val="28"/>
          <w:u w:val="single"/>
        </w:rPr>
        <w:t xml:space="preserve">7 </w:t>
      </w:r>
      <w:r w:rsidR="00183E2D">
        <w:rPr>
          <w:rFonts w:ascii="Arial" w:hAnsi="Arial" w:cs="Arial"/>
          <w:b/>
          <w:sz w:val="28"/>
          <w:szCs w:val="28"/>
          <w:u w:val="single"/>
        </w:rPr>
        <w:t>MARS</w:t>
      </w:r>
      <w:r w:rsidR="00E20D99">
        <w:rPr>
          <w:rFonts w:ascii="Arial" w:hAnsi="Arial" w:cs="Arial"/>
          <w:b/>
          <w:sz w:val="28"/>
          <w:szCs w:val="28"/>
          <w:u w:val="single"/>
        </w:rPr>
        <w:t xml:space="preserve"> 2019</w:t>
      </w:r>
    </w:p>
    <w:p w:rsidR="005436D7" w:rsidRPr="005436D7" w:rsidRDefault="00660323" w:rsidP="005436D7">
      <w:pPr>
        <w:spacing w:after="0" w:line="240" w:lineRule="auto"/>
        <w:jc w:val="center"/>
        <w:rPr>
          <w:rFonts w:ascii="Arial" w:hAnsi="Arial" w:cs="Arial"/>
          <w:b/>
          <w:color w:val="000000"/>
        </w:rPr>
      </w:pPr>
      <w:r>
        <w:rPr>
          <w:rFonts w:ascii="Arial" w:hAnsi="Arial" w:cs="Arial"/>
          <w:b/>
          <w:sz w:val="28"/>
          <w:szCs w:val="28"/>
          <w:u w:val="single"/>
        </w:rPr>
        <w:t>COMPTE-RENDU</w:t>
      </w:r>
    </w:p>
    <w:p w:rsidR="005436D7" w:rsidRDefault="005436D7" w:rsidP="005436D7">
      <w:pPr>
        <w:rPr>
          <w:color w:val="000000"/>
        </w:rPr>
      </w:pPr>
    </w:p>
    <w:p w:rsidR="006435CC" w:rsidRPr="006F0C56" w:rsidRDefault="006435CC" w:rsidP="004E21AE">
      <w:pPr>
        <w:spacing w:after="0"/>
        <w:jc w:val="both"/>
        <w:rPr>
          <w:rFonts w:ascii="Arial" w:hAnsi="Arial" w:cs="Arial"/>
          <w:sz w:val="22"/>
          <w:szCs w:val="22"/>
        </w:rPr>
      </w:pPr>
      <w:r w:rsidRPr="006F0C56">
        <w:rPr>
          <w:rFonts w:ascii="Arial" w:hAnsi="Arial" w:cs="Arial"/>
          <w:sz w:val="22"/>
          <w:szCs w:val="22"/>
        </w:rPr>
        <w:t>L’an deux mille dix-</w:t>
      </w:r>
      <w:r w:rsidR="00E20D99">
        <w:rPr>
          <w:rFonts w:ascii="Arial" w:hAnsi="Arial" w:cs="Arial"/>
          <w:sz w:val="22"/>
          <w:szCs w:val="22"/>
        </w:rPr>
        <w:t>neuf</w:t>
      </w:r>
      <w:r w:rsidRPr="006F0C56">
        <w:rPr>
          <w:rFonts w:ascii="Arial" w:hAnsi="Arial" w:cs="Arial"/>
          <w:sz w:val="22"/>
          <w:szCs w:val="22"/>
        </w:rPr>
        <w:t>, le</w:t>
      </w:r>
      <w:r w:rsidR="0061466B" w:rsidRPr="006F0C56">
        <w:rPr>
          <w:rFonts w:ascii="Arial" w:hAnsi="Arial" w:cs="Arial"/>
          <w:sz w:val="22"/>
          <w:szCs w:val="22"/>
        </w:rPr>
        <w:t xml:space="preserve"> </w:t>
      </w:r>
      <w:r w:rsidR="00E307BC">
        <w:rPr>
          <w:rFonts w:ascii="Arial" w:hAnsi="Arial" w:cs="Arial"/>
          <w:sz w:val="22"/>
          <w:szCs w:val="22"/>
        </w:rPr>
        <w:t xml:space="preserve">sept </w:t>
      </w:r>
      <w:r w:rsidR="00183E2D">
        <w:rPr>
          <w:rFonts w:ascii="Arial" w:hAnsi="Arial" w:cs="Arial"/>
          <w:sz w:val="22"/>
          <w:szCs w:val="22"/>
        </w:rPr>
        <w:t>mars</w:t>
      </w:r>
      <w:r w:rsidRPr="006F0C56">
        <w:rPr>
          <w:rFonts w:ascii="Arial" w:hAnsi="Arial" w:cs="Arial"/>
          <w:sz w:val="22"/>
          <w:szCs w:val="22"/>
        </w:rPr>
        <w:t>, le Conseil municipal</w:t>
      </w:r>
      <w:r w:rsidR="00D64FC7" w:rsidRPr="006F0C56">
        <w:rPr>
          <w:rFonts w:ascii="Arial" w:hAnsi="Arial" w:cs="Arial"/>
          <w:sz w:val="22"/>
          <w:szCs w:val="22"/>
        </w:rPr>
        <w:t xml:space="preserve">, dûment convoqué </w:t>
      </w:r>
      <w:r w:rsidR="004E3A52" w:rsidRPr="006F0C56">
        <w:rPr>
          <w:rFonts w:ascii="Arial" w:hAnsi="Arial" w:cs="Arial"/>
          <w:sz w:val="22"/>
          <w:szCs w:val="22"/>
        </w:rPr>
        <w:t>l</w:t>
      </w:r>
      <w:r w:rsidR="00D64FC7" w:rsidRPr="006F0C56">
        <w:rPr>
          <w:rFonts w:ascii="Arial" w:hAnsi="Arial" w:cs="Arial"/>
          <w:sz w:val="22"/>
          <w:szCs w:val="22"/>
        </w:rPr>
        <w:t>e</w:t>
      </w:r>
      <w:r w:rsidR="00A11926" w:rsidRPr="006F0C56">
        <w:rPr>
          <w:rFonts w:ascii="Arial" w:hAnsi="Arial" w:cs="Arial"/>
          <w:sz w:val="22"/>
          <w:szCs w:val="22"/>
        </w:rPr>
        <w:t xml:space="preserve"> </w:t>
      </w:r>
      <w:r w:rsidR="00E20D99">
        <w:rPr>
          <w:rFonts w:ascii="Arial" w:hAnsi="Arial" w:cs="Arial"/>
          <w:sz w:val="22"/>
          <w:szCs w:val="22"/>
        </w:rPr>
        <w:t xml:space="preserve">premier </w:t>
      </w:r>
      <w:r w:rsidR="00183E2D">
        <w:rPr>
          <w:rFonts w:ascii="Arial" w:hAnsi="Arial" w:cs="Arial"/>
          <w:sz w:val="22"/>
          <w:szCs w:val="22"/>
        </w:rPr>
        <w:t>mars</w:t>
      </w:r>
      <w:r w:rsidR="004645D9" w:rsidRPr="006F0C56">
        <w:rPr>
          <w:rFonts w:ascii="Arial" w:hAnsi="Arial" w:cs="Arial"/>
          <w:sz w:val="22"/>
          <w:szCs w:val="22"/>
        </w:rPr>
        <w:t xml:space="preserve">, </w:t>
      </w:r>
      <w:r w:rsidRPr="006F0C56">
        <w:rPr>
          <w:rFonts w:ascii="Arial" w:hAnsi="Arial" w:cs="Arial"/>
          <w:sz w:val="22"/>
          <w:szCs w:val="22"/>
        </w:rPr>
        <w:t>s’est réuni en session ordinaire à la mairie sous la présidence de M. Stéphane SPITTERS, Maire.</w:t>
      </w:r>
    </w:p>
    <w:p w:rsidR="005A4333" w:rsidRPr="006F0C56" w:rsidRDefault="005A4333" w:rsidP="004E21AE">
      <w:pPr>
        <w:spacing w:after="0"/>
        <w:jc w:val="both"/>
        <w:rPr>
          <w:rFonts w:ascii="Arial" w:hAnsi="Arial" w:cs="Arial"/>
          <w:sz w:val="22"/>
          <w:szCs w:val="22"/>
        </w:rPr>
      </w:pPr>
    </w:p>
    <w:p w:rsidR="00183E2D" w:rsidRDefault="00174B08" w:rsidP="00D92C85">
      <w:pPr>
        <w:spacing w:after="0" w:line="240" w:lineRule="auto"/>
        <w:jc w:val="both"/>
        <w:rPr>
          <w:rFonts w:ascii="Arial" w:hAnsi="Arial" w:cs="Arial"/>
          <w:sz w:val="22"/>
          <w:szCs w:val="22"/>
        </w:rPr>
      </w:pPr>
      <w:r w:rsidRPr="006F0C56">
        <w:rPr>
          <w:rFonts w:ascii="Arial" w:hAnsi="Arial" w:cs="Arial"/>
          <w:b/>
          <w:sz w:val="22"/>
          <w:szCs w:val="22"/>
          <w:u w:val="single"/>
        </w:rPr>
        <w:t>Présent(e)s</w:t>
      </w:r>
      <w:r w:rsidRPr="006F0C56">
        <w:rPr>
          <w:rFonts w:ascii="Arial" w:hAnsi="Arial" w:cs="Arial"/>
          <w:sz w:val="22"/>
          <w:szCs w:val="22"/>
        </w:rPr>
        <w:t xml:space="preserve"> : </w:t>
      </w:r>
      <w:r w:rsidR="0059565D" w:rsidRPr="006F0C56">
        <w:rPr>
          <w:rFonts w:ascii="Arial" w:hAnsi="Arial" w:cs="Arial"/>
          <w:sz w:val="22"/>
          <w:szCs w:val="22"/>
        </w:rPr>
        <w:t xml:space="preserve">Mmes et MM. Stéphane SPITTERS, </w:t>
      </w:r>
      <w:r w:rsidR="00A17975" w:rsidRPr="006F0C56">
        <w:rPr>
          <w:rFonts w:ascii="Arial" w:hAnsi="Arial" w:cs="Arial"/>
          <w:sz w:val="22"/>
          <w:szCs w:val="22"/>
        </w:rPr>
        <w:t>Jacqueline LAMY, D</w:t>
      </w:r>
      <w:r w:rsidR="005A4CAA" w:rsidRPr="006F0C56">
        <w:rPr>
          <w:rFonts w:ascii="Arial" w:hAnsi="Arial" w:cs="Arial"/>
          <w:sz w:val="22"/>
          <w:szCs w:val="22"/>
        </w:rPr>
        <w:t>ominique FLACHER-</w:t>
      </w:r>
      <w:r w:rsidR="002E08CA">
        <w:rPr>
          <w:rFonts w:ascii="Arial" w:hAnsi="Arial" w:cs="Arial"/>
          <w:sz w:val="22"/>
          <w:szCs w:val="22"/>
        </w:rPr>
        <w:t xml:space="preserve">LHERMET, Daniel </w:t>
      </w:r>
      <w:r w:rsidR="0059565D" w:rsidRPr="006F0C56">
        <w:rPr>
          <w:rFonts w:ascii="Arial" w:hAnsi="Arial" w:cs="Arial"/>
          <w:sz w:val="22"/>
          <w:szCs w:val="22"/>
        </w:rPr>
        <w:t xml:space="preserve">ROBERT-CHARRERAU, Laurent WILB, Fanny THIBERT, Chantal GARDAN, Ahmed HAMADACHE, </w:t>
      </w:r>
      <w:r w:rsidR="00183E2D">
        <w:rPr>
          <w:rFonts w:ascii="Arial" w:hAnsi="Arial" w:cs="Arial"/>
          <w:sz w:val="22"/>
          <w:szCs w:val="22"/>
        </w:rPr>
        <w:t xml:space="preserve">Geneviève GONIN, </w:t>
      </w:r>
      <w:r w:rsidR="005911EC" w:rsidRPr="006F0C56">
        <w:rPr>
          <w:rFonts w:ascii="Arial" w:hAnsi="Arial" w:cs="Arial"/>
          <w:sz w:val="22"/>
          <w:szCs w:val="22"/>
        </w:rPr>
        <w:t>Marie-Noëlle</w:t>
      </w:r>
      <w:r w:rsidR="002E08CA">
        <w:rPr>
          <w:rFonts w:ascii="Arial" w:hAnsi="Arial" w:cs="Arial"/>
          <w:sz w:val="22"/>
          <w:szCs w:val="22"/>
        </w:rPr>
        <w:t xml:space="preserve"> POURRAT</w:t>
      </w:r>
      <w:r w:rsidR="00183E2D">
        <w:rPr>
          <w:rFonts w:ascii="Arial" w:hAnsi="Arial" w:cs="Arial"/>
          <w:sz w:val="22"/>
          <w:szCs w:val="22"/>
        </w:rPr>
        <w:t xml:space="preserve"> (arrivée à </w:t>
      </w:r>
    </w:p>
    <w:p w:rsidR="00D92C85" w:rsidRPr="006F0C56" w:rsidRDefault="00183E2D" w:rsidP="00D92C85">
      <w:pPr>
        <w:spacing w:after="0" w:line="240" w:lineRule="auto"/>
        <w:jc w:val="both"/>
        <w:rPr>
          <w:rFonts w:ascii="Arial" w:hAnsi="Arial" w:cs="Arial"/>
          <w:sz w:val="22"/>
          <w:szCs w:val="22"/>
        </w:rPr>
      </w:pPr>
      <w:r>
        <w:rPr>
          <w:rFonts w:ascii="Arial" w:hAnsi="Arial" w:cs="Arial"/>
          <w:sz w:val="22"/>
          <w:szCs w:val="22"/>
        </w:rPr>
        <w:t>19 h 45, sujet 1)</w:t>
      </w:r>
      <w:r w:rsidR="002E08CA">
        <w:rPr>
          <w:rFonts w:ascii="Arial" w:hAnsi="Arial" w:cs="Arial"/>
          <w:sz w:val="22"/>
          <w:szCs w:val="22"/>
        </w:rPr>
        <w:t xml:space="preserve">, </w:t>
      </w:r>
      <w:r w:rsidR="00E307BC">
        <w:rPr>
          <w:rFonts w:ascii="Arial" w:hAnsi="Arial" w:cs="Arial"/>
          <w:sz w:val="22"/>
          <w:szCs w:val="22"/>
        </w:rPr>
        <w:t xml:space="preserve">Marie-Laure TRAYNARD, </w:t>
      </w:r>
      <w:r w:rsidR="002E08CA" w:rsidRPr="0046176D">
        <w:rPr>
          <w:rFonts w:ascii="Arial" w:hAnsi="Arial" w:cs="Arial"/>
          <w:sz w:val="22"/>
          <w:szCs w:val="22"/>
        </w:rPr>
        <w:t xml:space="preserve">Roland </w:t>
      </w:r>
      <w:r w:rsidR="00D92C85" w:rsidRPr="006F0C56">
        <w:rPr>
          <w:rFonts w:ascii="Arial" w:hAnsi="Arial" w:cs="Arial"/>
          <w:sz w:val="22"/>
          <w:szCs w:val="22"/>
        </w:rPr>
        <w:t xml:space="preserve">FERREIN, Hélène ROBERT, Bernard JACOB, Martine SARTRE, </w:t>
      </w:r>
      <w:r w:rsidR="00E83FF4">
        <w:rPr>
          <w:rFonts w:ascii="Arial" w:hAnsi="Arial" w:cs="Arial"/>
          <w:sz w:val="22"/>
          <w:szCs w:val="22"/>
        </w:rPr>
        <w:t xml:space="preserve">Florian BENAY, </w:t>
      </w:r>
      <w:r>
        <w:rPr>
          <w:rFonts w:ascii="Arial" w:hAnsi="Arial" w:cs="Arial"/>
          <w:sz w:val="22"/>
          <w:szCs w:val="22"/>
        </w:rPr>
        <w:t xml:space="preserve">Huzeyme KORLU (départ à 19 h 30, avant le sujet 2), </w:t>
      </w:r>
      <w:r w:rsidR="005A70E3">
        <w:rPr>
          <w:rFonts w:ascii="Arial" w:hAnsi="Arial" w:cs="Arial"/>
          <w:sz w:val="22"/>
          <w:szCs w:val="22"/>
        </w:rPr>
        <w:t xml:space="preserve">Christine MASSON, </w:t>
      </w:r>
      <w:r w:rsidR="00905F50" w:rsidRPr="006F0C56">
        <w:rPr>
          <w:rFonts w:ascii="Arial" w:hAnsi="Arial" w:cs="Arial"/>
          <w:sz w:val="22"/>
          <w:szCs w:val="22"/>
        </w:rPr>
        <w:t>Fran</w:t>
      </w:r>
      <w:r w:rsidR="00A17975" w:rsidRPr="006F0C56">
        <w:rPr>
          <w:rFonts w:ascii="Arial" w:hAnsi="Arial" w:cs="Arial"/>
          <w:sz w:val="22"/>
          <w:szCs w:val="22"/>
        </w:rPr>
        <w:t>çois MAGNIEN</w:t>
      </w:r>
      <w:r w:rsidR="002E08CA">
        <w:rPr>
          <w:rFonts w:ascii="Arial" w:hAnsi="Arial" w:cs="Arial"/>
          <w:sz w:val="22"/>
          <w:szCs w:val="22"/>
        </w:rPr>
        <w:t xml:space="preserve">, </w:t>
      </w:r>
      <w:r w:rsidR="00280AFC">
        <w:rPr>
          <w:rFonts w:ascii="Arial" w:hAnsi="Arial" w:cs="Arial"/>
          <w:sz w:val="22"/>
          <w:szCs w:val="22"/>
        </w:rPr>
        <w:t>Jean-Claude DUPLAND, Jean-Pierre GABET, Thierry DARBON.</w:t>
      </w:r>
    </w:p>
    <w:p w:rsidR="007B7487" w:rsidRPr="006F0C56" w:rsidRDefault="007B7487" w:rsidP="007B44E2">
      <w:pPr>
        <w:spacing w:after="0" w:line="240" w:lineRule="auto"/>
        <w:jc w:val="both"/>
        <w:rPr>
          <w:rFonts w:ascii="Arial" w:hAnsi="Arial" w:cs="Arial"/>
          <w:b/>
          <w:sz w:val="22"/>
          <w:szCs w:val="22"/>
          <w:u w:val="single"/>
        </w:rPr>
      </w:pPr>
    </w:p>
    <w:p w:rsidR="00174B08" w:rsidRPr="0046176D" w:rsidRDefault="00174B08" w:rsidP="007B44E2">
      <w:pPr>
        <w:spacing w:after="0" w:line="240" w:lineRule="auto"/>
        <w:jc w:val="both"/>
        <w:rPr>
          <w:rFonts w:ascii="Arial" w:hAnsi="Arial" w:cs="Arial"/>
          <w:sz w:val="22"/>
          <w:szCs w:val="22"/>
        </w:rPr>
      </w:pPr>
      <w:r w:rsidRPr="0046176D">
        <w:rPr>
          <w:rFonts w:ascii="Arial" w:hAnsi="Arial" w:cs="Arial"/>
          <w:b/>
          <w:sz w:val="22"/>
          <w:szCs w:val="22"/>
          <w:u w:val="single"/>
        </w:rPr>
        <w:t>Excusé(e)s</w:t>
      </w:r>
      <w:r w:rsidRPr="0046176D">
        <w:rPr>
          <w:rFonts w:ascii="Arial" w:hAnsi="Arial" w:cs="Arial"/>
          <w:sz w:val="22"/>
          <w:szCs w:val="22"/>
        </w:rPr>
        <w:t> :</w:t>
      </w:r>
      <w:r w:rsidR="00183E2D" w:rsidRPr="0046176D">
        <w:rPr>
          <w:rFonts w:ascii="Arial" w:hAnsi="Arial" w:cs="Arial"/>
          <w:sz w:val="22"/>
          <w:szCs w:val="22"/>
        </w:rPr>
        <w:t xml:space="preserve"> </w:t>
      </w:r>
      <w:r w:rsidR="00DC6938" w:rsidRPr="0046176D">
        <w:rPr>
          <w:rFonts w:ascii="Arial" w:hAnsi="Arial" w:cs="Arial"/>
          <w:sz w:val="22"/>
          <w:szCs w:val="22"/>
        </w:rPr>
        <w:t xml:space="preserve">Alfred-Juvénal BIMENYIMANA, </w:t>
      </w:r>
      <w:r w:rsidR="00E83FF4" w:rsidRPr="0046176D">
        <w:rPr>
          <w:rFonts w:ascii="Arial" w:hAnsi="Arial" w:cs="Arial"/>
          <w:sz w:val="22"/>
          <w:szCs w:val="22"/>
        </w:rPr>
        <w:t xml:space="preserve">Luc GONIN, Huzeyme KORLU, </w:t>
      </w:r>
      <w:r w:rsidR="00183E2D">
        <w:rPr>
          <w:rFonts w:ascii="Arial" w:hAnsi="Arial" w:cs="Arial"/>
          <w:sz w:val="22"/>
          <w:szCs w:val="22"/>
        </w:rPr>
        <w:t>Olga DAMIAN, François GOUYAUD, Evelyne DUVERNOY.</w:t>
      </w:r>
    </w:p>
    <w:p w:rsidR="00BD32F3" w:rsidRPr="0046176D" w:rsidRDefault="00BD32F3" w:rsidP="004E21AE">
      <w:pPr>
        <w:spacing w:after="0"/>
        <w:jc w:val="both"/>
        <w:rPr>
          <w:rFonts w:ascii="Arial" w:hAnsi="Arial" w:cs="Arial"/>
          <w:sz w:val="22"/>
          <w:szCs w:val="22"/>
        </w:rPr>
      </w:pPr>
    </w:p>
    <w:p w:rsidR="00174B08" w:rsidRPr="00C87C04" w:rsidRDefault="004C28E0" w:rsidP="004E21AE">
      <w:pPr>
        <w:spacing w:after="0"/>
        <w:jc w:val="both"/>
        <w:rPr>
          <w:rFonts w:ascii="Arial" w:hAnsi="Arial" w:cs="Arial"/>
          <w:sz w:val="22"/>
          <w:szCs w:val="22"/>
        </w:rPr>
      </w:pPr>
      <w:r w:rsidRPr="00C87C04">
        <w:rPr>
          <w:rFonts w:ascii="Arial" w:hAnsi="Arial" w:cs="Arial"/>
          <w:b/>
          <w:sz w:val="22"/>
          <w:szCs w:val="22"/>
          <w:u w:val="single"/>
        </w:rPr>
        <w:t>Absent</w:t>
      </w:r>
      <w:r w:rsidR="001D5A9B" w:rsidRPr="00C87C04">
        <w:rPr>
          <w:rFonts w:ascii="Arial" w:hAnsi="Arial" w:cs="Arial"/>
          <w:b/>
          <w:sz w:val="22"/>
          <w:szCs w:val="22"/>
          <w:u w:val="single"/>
        </w:rPr>
        <w:t>(e)s</w:t>
      </w:r>
      <w:r w:rsidR="001D5A9B" w:rsidRPr="00C87C04">
        <w:rPr>
          <w:rFonts w:ascii="Arial" w:hAnsi="Arial" w:cs="Arial"/>
          <w:b/>
          <w:sz w:val="22"/>
          <w:szCs w:val="22"/>
        </w:rPr>
        <w:t xml:space="preserve"> </w:t>
      </w:r>
      <w:r w:rsidRPr="00C87C04">
        <w:rPr>
          <w:rFonts w:ascii="Arial" w:hAnsi="Arial" w:cs="Arial"/>
          <w:sz w:val="22"/>
          <w:szCs w:val="22"/>
        </w:rPr>
        <w:t>:</w:t>
      </w:r>
      <w:r w:rsidR="00E83FF4">
        <w:rPr>
          <w:rFonts w:ascii="Arial" w:hAnsi="Arial" w:cs="Arial"/>
          <w:sz w:val="22"/>
          <w:szCs w:val="22"/>
        </w:rPr>
        <w:t xml:space="preserve"> </w:t>
      </w:r>
      <w:r w:rsidR="00183E2D">
        <w:rPr>
          <w:rFonts w:ascii="Arial" w:hAnsi="Arial" w:cs="Arial"/>
          <w:sz w:val="22"/>
          <w:szCs w:val="22"/>
        </w:rPr>
        <w:t xml:space="preserve">Marie-Noëlle POURRAT (jusqu’à 19 h 45), Gilles BLACHIER, </w:t>
      </w:r>
      <w:r w:rsidR="00E83FF4">
        <w:rPr>
          <w:rFonts w:ascii="Arial" w:hAnsi="Arial" w:cs="Arial"/>
          <w:sz w:val="22"/>
          <w:szCs w:val="22"/>
        </w:rPr>
        <w:t>Hasan SENER.</w:t>
      </w:r>
    </w:p>
    <w:p w:rsidR="00982C14" w:rsidRPr="00C87C04" w:rsidRDefault="00982C14" w:rsidP="00A2674D">
      <w:pPr>
        <w:spacing w:after="0"/>
        <w:jc w:val="both"/>
        <w:rPr>
          <w:rFonts w:ascii="Arial" w:hAnsi="Arial" w:cs="Arial"/>
          <w:b/>
          <w:u w:val="single"/>
        </w:rPr>
      </w:pPr>
    </w:p>
    <w:p w:rsidR="0048573F" w:rsidRDefault="00174B08" w:rsidP="00A2674D">
      <w:pPr>
        <w:spacing w:after="0"/>
        <w:jc w:val="both"/>
        <w:rPr>
          <w:rFonts w:ascii="Arial" w:hAnsi="Arial" w:cs="Arial"/>
          <w:sz w:val="22"/>
          <w:szCs w:val="22"/>
        </w:rPr>
      </w:pPr>
      <w:r w:rsidRPr="006F0C56">
        <w:rPr>
          <w:rFonts w:ascii="Arial" w:hAnsi="Arial" w:cs="Arial"/>
          <w:b/>
          <w:sz w:val="22"/>
          <w:szCs w:val="22"/>
          <w:u w:val="single"/>
        </w:rPr>
        <w:t>Pouvoirs</w:t>
      </w:r>
      <w:r w:rsidRPr="006F0C56">
        <w:rPr>
          <w:rFonts w:ascii="Arial" w:hAnsi="Arial" w:cs="Arial"/>
          <w:sz w:val="22"/>
          <w:szCs w:val="22"/>
        </w:rPr>
        <w:t> :</w:t>
      </w:r>
      <w:r w:rsidR="00A17975" w:rsidRPr="006F0C56">
        <w:rPr>
          <w:rFonts w:ascii="Arial" w:hAnsi="Arial" w:cs="Arial"/>
          <w:sz w:val="22"/>
          <w:szCs w:val="22"/>
        </w:rPr>
        <w:t xml:space="preserve"> </w:t>
      </w:r>
      <w:r w:rsidR="0059393E" w:rsidRPr="0046176D">
        <w:rPr>
          <w:rFonts w:ascii="Arial" w:hAnsi="Arial" w:cs="Arial"/>
          <w:sz w:val="22"/>
          <w:szCs w:val="22"/>
        </w:rPr>
        <w:t xml:space="preserve">Alfred-Juvénal BIMENYIMANA donne pouvoir à Stéphane SPITTERS, </w:t>
      </w:r>
      <w:r w:rsidR="00183E2D">
        <w:rPr>
          <w:rFonts w:ascii="Arial" w:hAnsi="Arial" w:cs="Arial"/>
          <w:sz w:val="22"/>
          <w:szCs w:val="22"/>
        </w:rPr>
        <w:t xml:space="preserve">Luc GONIN donne pouvoir à Geneviève GONIN, </w:t>
      </w:r>
      <w:r w:rsidR="00E83FF4">
        <w:rPr>
          <w:rFonts w:ascii="Arial" w:hAnsi="Arial" w:cs="Arial"/>
          <w:sz w:val="22"/>
          <w:szCs w:val="22"/>
        </w:rPr>
        <w:t xml:space="preserve">Huzeyme KORLU donne pouvoir à </w:t>
      </w:r>
      <w:r w:rsidR="00DC6938">
        <w:rPr>
          <w:rFonts w:ascii="Arial" w:hAnsi="Arial" w:cs="Arial"/>
          <w:sz w:val="22"/>
          <w:szCs w:val="22"/>
        </w:rPr>
        <w:t>Jacqueline LAMY</w:t>
      </w:r>
      <w:r w:rsidR="00E83FF4">
        <w:rPr>
          <w:rFonts w:ascii="Arial" w:hAnsi="Arial" w:cs="Arial"/>
          <w:sz w:val="22"/>
          <w:szCs w:val="22"/>
        </w:rPr>
        <w:t xml:space="preserve">, </w:t>
      </w:r>
      <w:r w:rsidR="00DC6938">
        <w:rPr>
          <w:rFonts w:ascii="Arial" w:hAnsi="Arial" w:cs="Arial"/>
          <w:sz w:val="22"/>
          <w:szCs w:val="22"/>
        </w:rPr>
        <w:t xml:space="preserve">Olga DAMIAN donne pouvoir à François MAGNIEN, </w:t>
      </w:r>
      <w:r w:rsidR="00E83FF4">
        <w:rPr>
          <w:rFonts w:ascii="Arial" w:hAnsi="Arial" w:cs="Arial"/>
          <w:sz w:val="22"/>
          <w:szCs w:val="22"/>
        </w:rPr>
        <w:t xml:space="preserve">François GOUYAUD donne pouvoir à </w:t>
      </w:r>
      <w:r w:rsidR="00DC6938">
        <w:rPr>
          <w:rFonts w:ascii="Arial" w:hAnsi="Arial" w:cs="Arial"/>
          <w:sz w:val="22"/>
          <w:szCs w:val="22"/>
        </w:rPr>
        <w:t>Jean-Claude DUPLAND, Evelyne DUVERNOY donne pouvoir à Jean-Pierre GABET.</w:t>
      </w:r>
    </w:p>
    <w:p w:rsidR="00E83FF4" w:rsidRPr="006F0C56" w:rsidRDefault="00E83FF4" w:rsidP="00771F33">
      <w:pPr>
        <w:spacing w:after="0"/>
        <w:rPr>
          <w:rFonts w:ascii="Arial" w:hAnsi="Arial" w:cs="Arial"/>
          <w:b/>
          <w:sz w:val="22"/>
          <w:szCs w:val="22"/>
        </w:rPr>
      </w:pPr>
    </w:p>
    <w:p w:rsidR="00A06FA0" w:rsidRDefault="00183E2D" w:rsidP="00A06FA0">
      <w:pPr>
        <w:spacing w:after="0"/>
        <w:rPr>
          <w:rFonts w:ascii="Arial" w:hAnsi="Arial" w:cs="Arial"/>
          <w:b/>
          <w:sz w:val="22"/>
          <w:szCs w:val="22"/>
        </w:rPr>
      </w:pPr>
      <w:r>
        <w:rPr>
          <w:rFonts w:ascii="Arial" w:hAnsi="Arial" w:cs="Arial"/>
          <w:b/>
          <w:sz w:val="22"/>
          <w:szCs w:val="22"/>
        </w:rPr>
        <w:t>Dominique FLACHER-LHERMET</w:t>
      </w:r>
      <w:r w:rsidR="00A17975" w:rsidRPr="006F0C56">
        <w:rPr>
          <w:rFonts w:ascii="Arial" w:hAnsi="Arial" w:cs="Arial"/>
          <w:b/>
          <w:sz w:val="22"/>
          <w:szCs w:val="22"/>
        </w:rPr>
        <w:t xml:space="preserve"> </w:t>
      </w:r>
      <w:r w:rsidR="00920EC2" w:rsidRPr="006F0C56">
        <w:rPr>
          <w:rFonts w:ascii="Arial" w:hAnsi="Arial" w:cs="Arial"/>
          <w:b/>
          <w:sz w:val="22"/>
          <w:szCs w:val="22"/>
        </w:rPr>
        <w:t>est élu</w:t>
      </w:r>
      <w:r>
        <w:rPr>
          <w:rFonts w:ascii="Arial" w:hAnsi="Arial" w:cs="Arial"/>
          <w:b/>
          <w:sz w:val="22"/>
          <w:szCs w:val="22"/>
        </w:rPr>
        <w:t>e</w:t>
      </w:r>
      <w:r w:rsidR="00920EC2" w:rsidRPr="006F0C56">
        <w:rPr>
          <w:rFonts w:ascii="Arial" w:hAnsi="Arial" w:cs="Arial"/>
          <w:b/>
          <w:sz w:val="22"/>
          <w:szCs w:val="22"/>
        </w:rPr>
        <w:t xml:space="preserve"> secrétaire de séance.</w:t>
      </w:r>
    </w:p>
    <w:p w:rsidR="0045715D" w:rsidRDefault="0045715D" w:rsidP="003E2566">
      <w:pPr>
        <w:spacing w:after="0" w:line="259" w:lineRule="auto"/>
        <w:jc w:val="both"/>
        <w:rPr>
          <w:rFonts w:ascii="Arial" w:eastAsia="Calibri" w:hAnsi="Arial" w:cs="Arial"/>
        </w:rPr>
      </w:pPr>
    </w:p>
    <w:p w:rsidR="0045715D" w:rsidRDefault="00DC6938" w:rsidP="0045715D">
      <w:pPr>
        <w:pStyle w:val="Listepuces"/>
        <w:numPr>
          <w:ilvl w:val="0"/>
          <w:numId w:val="0"/>
        </w:numPr>
        <w:spacing w:after="0"/>
        <w:jc w:val="both"/>
        <w:rPr>
          <w:rFonts w:ascii="Arial" w:hAnsi="Arial" w:cs="Arial"/>
          <w:b/>
        </w:rPr>
      </w:pPr>
      <w:r>
        <w:rPr>
          <w:rFonts w:ascii="Arial" w:hAnsi="Arial" w:cs="Arial"/>
          <w:b/>
        </w:rPr>
        <w:t>L</w:t>
      </w:r>
      <w:r w:rsidR="0045715D" w:rsidRPr="00E64C6E">
        <w:rPr>
          <w:rFonts w:ascii="Arial" w:hAnsi="Arial" w:cs="Arial"/>
          <w:b/>
        </w:rPr>
        <w:t xml:space="preserve">e procès-verbal de la séance </w:t>
      </w:r>
      <w:r w:rsidR="0045715D">
        <w:rPr>
          <w:rFonts w:ascii="Arial" w:hAnsi="Arial" w:cs="Arial"/>
          <w:b/>
        </w:rPr>
        <w:t xml:space="preserve">du </w:t>
      </w:r>
      <w:r>
        <w:rPr>
          <w:rFonts w:ascii="Arial" w:hAnsi="Arial" w:cs="Arial"/>
          <w:b/>
        </w:rPr>
        <w:t>7 février 2019</w:t>
      </w:r>
      <w:r w:rsidR="0045715D">
        <w:rPr>
          <w:rFonts w:ascii="Arial" w:hAnsi="Arial" w:cs="Arial"/>
          <w:b/>
        </w:rPr>
        <w:t xml:space="preserve"> est adopté à l’unanimité.</w:t>
      </w:r>
    </w:p>
    <w:p w:rsidR="00E83FF4" w:rsidRDefault="00E83FF4" w:rsidP="003E2566">
      <w:pPr>
        <w:spacing w:after="0" w:line="259" w:lineRule="auto"/>
        <w:jc w:val="both"/>
        <w:rPr>
          <w:rFonts w:ascii="Arial" w:eastAsia="Calibri" w:hAnsi="Arial" w:cs="Arial"/>
        </w:rPr>
      </w:pPr>
    </w:p>
    <w:p w:rsidR="00150D08" w:rsidRPr="00150D08" w:rsidRDefault="00150D08" w:rsidP="00346E72">
      <w:pPr>
        <w:numPr>
          <w:ilvl w:val="0"/>
          <w:numId w:val="2"/>
        </w:numPr>
        <w:spacing w:after="0" w:line="240" w:lineRule="auto"/>
        <w:ind w:right="1"/>
        <w:jc w:val="both"/>
        <w:rPr>
          <w:rFonts w:ascii="Arial" w:hAnsi="Arial" w:cs="Arial"/>
          <w:b/>
          <w:color w:val="000000"/>
          <w:sz w:val="22"/>
          <w:szCs w:val="22"/>
          <w:u w:val="single"/>
        </w:rPr>
      </w:pPr>
      <w:r w:rsidRPr="00150D08">
        <w:rPr>
          <w:rFonts w:ascii="Arial" w:hAnsi="Arial" w:cs="Arial"/>
          <w:b/>
          <w:color w:val="000000"/>
          <w:sz w:val="22"/>
          <w:szCs w:val="22"/>
          <w:u w:val="single"/>
        </w:rPr>
        <w:t>Débat d’orientations budgétaires 2019</w:t>
      </w:r>
    </w:p>
    <w:p w:rsidR="00183E2D" w:rsidRDefault="00183E2D" w:rsidP="003E2566">
      <w:pPr>
        <w:spacing w:after="0" w:line="259" w:lineRule="auto"/>
        <w:jc w:val="both"/>
        <w:rPr>
          <w:rFonts w:ascii="Arial" w:eastAsia="Calibri" w:hAnsi="Arial" w:cs="Arial"/>
        </w:rPr>
      </w:pPr>
    </w:p>
    <w:p w:rsidR="00183E2D" w:rsidRDefault="00183E2D" w:rsidP="003E2566">
      <w:pPr>
        <w:spacing w:after="0" w:line="259" w:lineRule="auto"/>
        <w:jc w:val="both"/>
        <w:rPr>
          <w:rFonts w:ascii="Arial" w:eastAsia="Calibri" w:hAnsi="Arial" w:cs="Arial"/>
        </w:rPr>
      </w:pPr>
    </w:p>
    <w:p w:rsidR="00183E2D" w:rsidRPr="00B05666" w:rsidRDefault="00150D08" w:rsidP="003E2566">
      <w:pPr>
        <w:spacing w:after="0" w:line="259" w:lineRule="auto"/>
        <w:jc w:val="both"/>
        <w:rPr>
          <w:rFonts w:ascii="Arial" w:eastAsia="Calibri" w:hAnsi="Arial" w:cs="Arial"/>
          <w:sz w:val="22"/>
          <w:szCs w:val="22"/>
        </w:rPr>
      </w:pPr>
      <w:r w:rsidRPr="00B05666">
        <w:rPr>
          <w:rFonts w:ascii="Arial" w:eastAsia="Calibri" w:hAnsi="Arial" w:cs="Arial"/>
          <w:sz w:val="22"/>
          <w:szCs w:val="22"/>
        </w:rPr>
        <w:t>Daniel ROBERT-CHARRERAU présente le sujet.</w:t>
      </w:r>
    </w:p>
    <w:p w:rsidR="00150D08" w:rsidRDefault="00150D08" w:rsidP="000D55E0">
      <w:pPr>
        <w:spacing w:after="0" w:line="259" w:lineRule="auto"/>
        <w:jc w:val="both"/>
        <w:rPr>
          <w:rFonts w:ascii="Arial" w:eastAsia="Calibri" w:hAnsi="Arial" w:cs="Arial"/>
        </w:rPr>
      </w:pPr>
    </w:p>
    <w:p w:rsidR="00150D08" w:rsidRDefault="00150D08" w:rsidP="000D55E0">
      <w:pPr>
        <w:spacing w:after="0"/>
        <w:jc w:val="both"/>
        <w:rPr>
          <w:rFonts w:ascii="Arial" w:hAnsi="Arial" w:cs="Arial"/>
          <w:sz w:val="22"/>
          <w:szCs w:val="22"/>
        </w:rPr>
      </w:pPr>
      <w:r>
        <w:rPr>
          <w:rFonts w:ascii="Arial" w:hAnsi="Arial" w:cs="Arial"/>
          <w:sz w:val="22"/>
          <w:szCs w:val="22"/>
        </w:rPr>
        <w:t>« </w:t>
      </w:r>
      <w:r w:rsidRPr="00150D08">
        <w:rPr>
          <w:rFonts w:ascii="Arial" w:hAnsi="Arial" w:cs="Arial"/>
          <w:sz w:val="22"/>
          <w:szCs w:val="22"/>
        </w:rPr>
        <w:t>La présentation du débat d’orientations budgétaires pour 2019 figure dans le rapport joint au présent envoi, tel qu’il résulte de la commission des finances du 26 février 2019.</w:t>
      </w:r>
    </w:p>
    <w:p w:rsidR="00B05666" w:rsidRDefault="00B05666" w:rsidP="000D55E0">
      <w:pPr>
        <w:spacing w:after="0"/>
        <w:jc w:val="both"/>
        <w:rPr>
          <w:rFonts w:ascii="Arial" w:hAnsi="Arial" w:cs="Arial"/>
          <w:sz w:val="22"/>
          <w:szCs w:val="22"/>
        </w:rPr>
      </w:pPr>
    </w:p>
    <w:p w:rsidR="00EF47DC" w:rsidRPr="00EF47DC" w:rsidRDefault="00EF47DC" w:rsidP="000D55E0">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Pour la période 2018-2022, l’Etat maintient son objectif de réduction du déficit public, à travers un effort supplémentaire d’économie de 50 milliards d’euros demandé aux administrations publiques et de sécurité sociale, dont 13 milliards d’euros au bloc communal (communes + structures intercommunales).</w:t>
      </w:r>
    </w:p>
    <w:p w:rsidR="00EF47DC" w:rsidRPr="00EF47DC" w:rsidRDefault="00EF47DC" w:rsidP="00EF47DC">
      <w:pPr>
        <w:tabs>
          <w:tab w:val="left" w:pos="5760"/>
        </w:tabs>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ab/>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Il est indiqué que l’effort appliqué aux collectivités territoriales ne prend plus la forme d’une diminution de la dotation globale de fonctionnement. Toutefois, un écrêtement est prévu et se traduira par une nouvelle diminution de la dotation de l’Etat (voir partie 3).</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lastRenderedPageBreak/>
        <w:t>Par ailleurs, le fonds départemental de péréquation de la taxe professionnelle (FDPTP) sera diminué de 64 millions d’euros pour le bloc communal, soit une baisse de 15% de cette recette (voir partie 3).</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La dotation de compensation de la réforme de la taxe professionnelle (DCRTP) sera diminuée de 5 millions d’euros pour le bloc communal, soit une baisse de 4,1% pour les collectivités pour lesquelles cette dotation n’a pas encore totalement disparu (voir partie 3).</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Depuis 2018, une contractualisation est mise en place entre l’Etat et les 322 collectivités dont les dépenses réelles de fonctionnement sont supérieures à 60 millions d’euros : le « pacte de confiance », qui définit deux objectifs :</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346E72">
      <w:pPr>
        <w:numPr>
          <w:ilvl w:val="0"/>
          <w:numId w:val="3"/>
        </w:numPr>
        <w:spacing w:after="200" w:line="240" w:lineRule="auto"/>
        <w:contextualSpacing/>
        <w:jc w:val="both"/>
        <w:rPr>
          <w:rFonts w:ascii="Arial" w:eastAsia="Calibri" w:hAnsi="Arial" w:cs="Arial"/>
          <w:color w:val="000000"/>
          <w:sz w:val="22"/>
          <w:szCs w:val="22"/>
        </w:rPr>
      </w:pPr>
      <w:r w:rsidRPr="00EF47DC">
        <w:rPr>
          <w:rFonts w:ascii="Arial" w:eastAsia="Calibri" w:hAnsi="Arial" w:cs="Arial"/>
          <w:color w:val="000000"/>
          <w:sz w:val="22"/>
          <w:szCs w:val="22"/>
        </w:rPr>
        <w:t>la limitation de l’évolution des dépenses réelles de fonctionnement à + 1,2 % par an, inflation et glissement vieillesse technicité (GVT, progression automatique des carrières des agents) compris ;</w:t>
      </w:r>
    </w:p>
    <w:p w:rsidR="00EF47DC" w:rsidRPr="00EF47DC" w:rsidRDefault="00EF47DC" w:rsidP="00EF47DC">
      <w:pPr>
        <w:spacing w:after="200" w:line="240" w:lineRule="auto"/>
        <w:ind w:left="720"/>
        <w:contextualSpacing/>
        <w:jc w:val="both"/>
        <w:rPr>
          <w:rFonts w:ascii="Arial" w:eastAsia="Calibri" w:hAnsi="Arial" w:cs="Arial"/>
          <w:color w:val="000000"/>
          <w:sz w:val="22"/>
          <w:szCs w:val="22"/>
        </w:rPr>
      </w:pPr>
    </w:p>
    <w:p w:rsidR="00EF47DC" w:rsidRPr="00EF47DC" w:rsidRDefault="00EF47DC" w:rsidP="00346E72">
      <w:pPr>
        <w:numPr>
          <w:ilvl w:val="0"/>
          <w:numId w:val="3"/>
        </w:numPr>
        <w:spacing w:after="200" w:line="240" w:lineRule="auto"/>
        <w:contextualSpacing/>
        <w:jc w:val="both"/>
        <w:rPr>
          <w:rFonts w:ascii="Arial" w:eastAsia="Calibri" w:hAnsi="Arial" w:cs="Arial"/>
          <w:color w:val="000000"/>
          <w:sz w:val="22"/>
          <w:szCs w:val="22"/>
        </w:rPr>
      </w:pPr>
      <w:r w:rsidRPr="00EF47DC">
        <w:rPr>
          <w:rFonts w:ascii="Arial" w:eastAsia="Calibri" w:hAnsi="Arial" w:cs="Arial"/>
          <w:color w:val="000000"/>
          <w:sz w:val="22"/>
          <w:szCs w:val="22"/>
        </w:rPr>
        <w:t xml:space="preserve">la réduction du besoin de financement (emprunts contractés – remboursements de dette) de 2,6 milliards d’euros par an.  </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Les collectivités concernées représentent environ les trois quarts des dépenses réelles de fonctionnement des administrations publiques locales.</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En cas de dépassement de l’objectif d’évolution des dépenses réelles de fonctionnement, la différence sera reprise, à hauteur de 75% du montant des dépenses supplémentaires, par une baisse des dotations de l’Etat. La part de cette reprise s’élèvera à 100% pour les collectivités qui n’auront pas signé de contrat. Dans les deux cas, la reprise est plafonnée à 2% des recettes réelles de fonctionnement.</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Si l’objectif d’évolution des dépenses réelles de fonctionnement est respecté, le préfet pourra accorder aux collectivités signataires d’un contrat, à partir de 2019, une majoration du taux de subvention pour les opérations bénéficiant de la dotation de soutien à l’investissement local (DSIL).</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71% des collectivités concernées ont signé un contrat en 2018. Une première estimation établit l’évolution globale des dépenses réelles de fonctionnement à + 0,6% pour les collectivités concernées par la contractualisation et à + 0,9% pour l’ensemble des collectivités</w:t>
      </w:r>
      <w:r w:rsidR="00AA119F">
        <w:rPr>
          <w:rFonts w:ascii="Arial" w:eastAsia="Times New Roman" w:hAnsi="Arial" w:cs="Arial"/>
          <w:color w:val="000000"/>
          <w:sz w:val="22"/>
          <w:szCs w:val="22"/>
          <w:lang w:eastAsia="zh-CN"/>
        </w:rPr>
        <w:t> »</w:t>
      </w:r>
      <w:r w:rsidRPr="00EF47DC">
        <w:rPr>
          <w:rFonts w:ascii="Arial" w:eastAsia="Times New Roman" w:hAnsi="Arial" w:cs="Arial"/>
          <w:color w:val="000000"/>
          <w:sz w:val="22"/>
          <w:szCs w:val="22"/>
          <w:lang w:eastAsia="zh-CN"/>
        </w:rPr>
        <w:t>.</w:t>
      </w:r>
    </w:p>
    <w:p w:rsidR="00EF47DC" w:rsidRPr="00EF47DC" w:rsidRDefault="00EF47DC" w:rsidP="00EF47DC">
      <w:pPr>
        <w:spacing w:after="0" w:line="240" w:lineRule="auto"/>
        <w:rPr>
          <w:rFonts w:ascii="Times New Roman" w:eastAsia="Times New Roman" w:hAnsi="Times New Roman" w:cs="Times New Roman"/>
          <w:color w:val="000000"/>
          <w:sz w:val="20"/>
          <w:szCs w:val="20"/>
          <w:lang w:eastAsia="zh-CN"/>
        </w:rPr>
      </w:pPr>
    </w:p>
    <w:p w:rsidR="00EF47DC" w:rsidRPr="00AA119F" w:rsidRDefault="00AA119F" w:rsidP="00EF47DC">
      <w:pPr>
        <w:spacing w:after="0" w:line="240" w:lineRule="auto"/>
        <w:rPr>
          <w:rFonts w:ascii="Times New Roman" w:eastAsia="Times New Roman" w:hAnsi="Times New Roman" w:cs="Times New Roman"/>
          <w:i/>
          <w:color w:val="000000"/>
          <w:sz w:val="20"/>
          <w:szCs w:val="20"/>
          <w:lang w:eastAsia="zh-CN"/>
        </w:rPr>
      </w:pPr>
      <w:r w:rsidRPr="00AA119F">
        <w:rPr>
          <w:rFonts w:ascii="Arial" w:eastAsia="Times New Roman" w:hAnsi="Arial" w:cs="Arial"/>
          <w:bCs/>
          <w:i/>
          <w:sz w:val="22"/>
          <w:szCs w:val="22"/>
          <w:lang w:eastAsia="zh-CN"/>
        </w:rPr>
        <w:t>Daniel ROBERT-CHARRERAU présente l</w:t>
      </w:r>
      <w:r w:rsidR="00EF47DC" w:rsidRPr="00AA119F">
        <w:rPr>
          <w:rFonts w:ascii="Arial" w:eastAsia="Times New Roman" w:hAnsi="Arial" w:cs="Arial"/>
          <w:bCs/>
          <w:i/>
          <w:sz w:val="22"/>
          <w:szCs w:val="22"/>
          <w:lang w:eastAsia="zh-CN"/>
        </w:rPr>
        <w:t>a réforme de la taxe d’habitation</w:t>
      </w:r>
      <w:r>
        <w:rPr>
          <w:rFonts w:ascii="Arial" w:eastAsia="Times New Roman" w:hAnsi="Arial" w:cs="Arial"/>
          <w:bCs/>
          <w:i/>
          <w:sz w:val="22"/>
          <w:szCs w:val="22"/>
          <w:lang w:eastAsia="zh-CN"/>
        </w:rPr>
        <w:t> :</w:t>
      </w:r>
    </w:p>
    <w:p w:rsidR="00EF47DC" w:rsidRPr="00EF47DC" w:rsidRDefault="00EF47DC" w:rsidP="00EF47DC">
      <w:pPr>
        <w:spacing w:after="0" w:line="240" w:lineRule="auto"/>
        <w:rPr>
          <w:rFonts w:ascii="Arial" w:eastAsia="Times New Roman" w:hAnsi="Arial" w:cs="Arial"/>
          <w:color w:val="000000"/>
          <w:sz w:val="22"/>
          <w:szCs w:val="22"/>
          <w:lang w:eastAsia="zh-CN"/>
        </w:rPr>
      </w:pPr>
    </w:p>
    <w:p w:rsidR="00EF47DC" w:rsidRPr="00EF47DC" w:rsidRDefault="00AA119F" w:rsidP="00EF47DC">
      <w:pPr>
        <w:spacing w:after="0" w:line="240" w:lineRule="auto"/>
        <w:jc w:val="both"/>
        <w:rPr>
          <w:rFonts w:ascii="Arial" w:eastAsia="Times New Roman" w:hAnsi="Arial" w:cs="Arial"/>
          <w:color w:val="000000"/>
          <w:sz w:val="22"/>
          <w:szCs w:val="22"/>
          <w:lang w:eastAsia="zh-CN"/>
        </w:rPr>
      </w:pPr>
      <w:r>
        <w:rPr>
          <w:rFonts w:ascii="Arial" w:eastAsia="Times New Roman" w:hAnsi="Arial" w:cs="Arial"/>
          <w:color w:val="000000"/>
          <w:sz w:val="22"/>
          <w:szCs w:val="22"/>
          <w:lang w:eastAsia="zh-CN"/>
        </w:rPr>
        <w:t>« </w:t>
      </w:r>
      <w:r w:rsidR="00EF47DC" w:rsidRPr="00EF47DC">
        <w:rPr>
          <w:rFonts w:ascii="Arial" w:eastAsia="Times New Roman" w:hAnsi="Arial" w:cs="Arial"/>
          <w:color w:val="000000"/>
          <w:sz w:val="22"/>
          <w:szCs w:val="22"/>
          <w:lang w:eastAsia="zh-CN"/>
        </w:rPr>
        <w:t>En 2018, une réforme échelonnée de la taxe d’habitation est entrée en vigueur. La réforme se traduit par la création d’un dégrèvement qui doit dispenser environ 80% des foyers fiscaux du paiement de la taxe d’habitation au titre de leur résidence principale, d’ici 2020. Il s’agit des ménages dont les ressources n’excèdent pas un certain plafond.</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En 2018, les foyers concernés ont été dispensés du paiement de 30% du montant dû de taxe d’habitation. Ces contribuables seront dispensés du paiement de 65 % du montant dû en 2019 et de 100% en 2020. La taxe d’habitation devrait disparaître à terme pour l’ensemble des foyers fiscaux.</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Pour le moment, l’Etat se substitue aux contribuables dégrevés en versant à la commune une somme du même montant que le produit fiscal auparavant perçu.</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Dans la perspective de la disparition de la taxe d’habitation, deux scénarios sont envisagés par l’Etat.</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ind w:left="705"/>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Scénario 1 : réallocation au bloc communal de la part départementale de taxe foncière sur les propriétés bâties (TFPB), complétée par un transfert d’impôt national.</w:t>
      </w:r>
    </w:p>
    <w:p w:rsidR="00EF47DC" w:rsidRPr="00EF47DC" w:rsidRDefault="00EF47DC" w:rsidP="00EF47DC">
      <w:pPr>
        <w:spacing w:after="0" w:line="240" w:lineRule="auto"/>
        <w:ind w:left="705"/>
        <w:jc w:val="both"/>
        <w:rPr>
          <w:rFonts w:ascii="Arial" w:eastAsia="Times New Roman" w:hAnsi="Arial" w:cs="Arial"/>
          <w:color w:val="000000"/>
          <w:sz w:val="22"/>
          <w:szCs w:val="22"/>
          <w:lang w:eastAsia="zh-CN"/>
        </w:rPr>
      </w:pPr>
    </w:p>
    <w:p w:rsidR="00EF47DC" w:rsidRPr="00EF47DC" w:rsidRDefault="00EF47DC" w:rsidP="00EF47DC">
      <w:pPr>
        <w:spacing w:after="0" w:line="240" w:lineRule="auto"/>
        <w:ind w:left="705"/>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Scénario 2 : transfert d’une fraction d’un impôt national au bloc communal.</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lastRenderedPageBreak/>
        <w:t>Les observateurs mettent en garde face à la méthode consistant à remplacer une recette fiscale locale par des dotations ou des transferts d’impôts nationaux, déjà utilisée par le passé lors de la suppression de la taxe professionnelle. Dans un premier temps, les nouvelles recettes transférées correspondent à l’ancienne recette fiscale mais après quelques années, elles sont incluses dans le « panier » des financements de l’Etat qui font l’objet de diminutions ou d’écrêtements.</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Quoiqu’il en soit, les collectivités ne peuvent plus faire évoluer la recette qui remplace l’ancienne recette fiscale locale</w:t>
      </w:r>
      <w:r w:rsidR="00AA119F">
        <w:rPr>
          <w:rFonts w:ascii="Arial" w:eastAsia="Times New Roman" w:hAnsi="Arial" w:cs="Arial"/>
          <w:color w:val="000000"/>
          <w:sz w:val="22"/>
          <w:szCs w:val="22"/>
          <w:lang w:eastAsia="zh-CN"/>
        </w:rPr>
        <w:t> »</w:t>
      </w:r>
      <w:r w:rsidRPr="00EF47DC">
        <w:rPr>
          <w:rFonts w:ascii="Arial" w:eastAsia="Times New Roman" w:hAnsi="Arial" w:cs="Arial"/>
          <w:color w:val="000000"/>
          <w:sz w:val="22"/>
          <w:szCs w:val="22"/>
          <w:lang w:eastAsia="zh-CN"/>
        </w:rPr>
        <w:t>.</w:t>
      </w:r>
    </w:p>
    <w:p w:rsidR="00EF47DC" w:rsidRPr="00AA119F" w:rsidRDefault="00EF47DC" w:rsidP="00EF47DC">
      <w:pPr>
        <w:spacing w:after="0" w:line="240" w:lineRule="auto"/>
        <w:jc w:val="both"/>
        <w:rPr>
          <w:rFonts w:ascii="Times New Roman" w:eastAsia="Times New Roman" w:hAnsi="Times New Roman" w:cs="Times New Roman"/>
          <w:i/>
          <w:color w:val="000000"/>
          <w:sz w:val="20"/>
          <w:szCs w:val="20"/>
          <w:lang w:eastAsia="zh-CN"/>
        </w:rPr>
      </w:pPr>
    </w:p>
    <w:p w:rsidR="00EF47DC" w:rsidRPr="00AA119F" w:rsidRDefault="00AA119F" w:rsidP="00EF47DC">
      <w:pPr>
        <w:spacing w:after="0" w:line="240" w:lineRule="auto"/>
        <w:jc w:val="both"/>
        <w:rPr>
          <w:rFonts w:ascii="Times New Roman" w:eastAsia="Times New Roman" w:hAnsi="Times New Roman" w:cs="Times New Roman"/>
          <w:i/>
          <w:color w:val="000000"/>
          <w:sz w:val="20"/>
          <w:szCs w:val="20"/>
          <w:lang w:eastAsia="zh-CN"/>
        </w:rPr>
      </w:pPr>
      <w:r w:rsidRPr="00AA119F">
        <w:rPr>
          <w:rFonts w:ascii="Arial" w:eastAsia="Times New Roman" w:hAnsi="Arial" w:cs="Arial"/>
          <w:bCs/>
          <w:i/>
          <w:sz w:val="22"/>
          <w:szCs w:val="22"/>
          <w:lang w:eastAsia="zh-CN"/>
        </w:rPr>
        <w:t>Daniel ROBERT-CHARRERAU présente l</w:t>
      </w:r>
      <w:r w:rsidR="00EF47DC" w:rsidRPr="00AA119F">
        <w:rPr>
          <w:rFonts w:ascii="Arial" w:eastAsia="Times New Roman" w:hAnsi="Arial" w:cs="Arial"/>
          <w:bCs/>
          <w:i/>
          <w:sz w:val="22"/>
          <w:szCs w:val="22"/>
          <w:lang w:eastAsia="zh-CN"/>
        </w:rPr>
        <w:t>es autres réformes prévues ou envisagées</w:t>
      </w:r>
      <w:r>
        <w:rPr>
          <w:rFonts w:ascii="Arial" w:eastAsia="Times New Roman" w:hAnsi="Arial" w:cs="Arial"/>
          <w:bCs/>
          <w:i/>
          <w:sz w:val="22"/>
          <w:szCs w:val="22"/>
          <w:lang w:eastAsia="zh-CN"/>
        </w:rPr>
        <w:t> :</w:t>
      </w:r>
    </w:p>
    <w:p w:rsidR="00EF47DC" w:rsidRPr="00EF47DC" w:rsidRDefault="00EF47DC" w:rsidP="00EF47DC">
      <w:pPr>
        <w:spacing w:after="0" w:line="240" w:lineRule="auto"/>
        <w:jc w:val="both"/>
        <w:rPr>
          <w:rFonts w:ascii="Times New Roman" w:eastAsia="Times New Roman" w:hAnsi="Times New Roman" w:cs="Times New Roman"/>
          <w:color w:val="000000"/>
          <w:sz w:val="20"/>
          <w:szCs w:val="20"/>
          <w:lang w:eastAsia="zh-CN"/>
        </w:rPr>
      </w:pPr>
    </w:p>
    <w:p w:rsidR="00EF47DC" w:rsidRPr="00EF47DC" w:rsidRDefault="00AA119F" w:rsidP="00EF47DC">
      <w:pPr>
        <w:spacing w:after="0" w:line="240" w:lineRule="auto"/>
        <w:jc w:val="both"/>
        <w:rPr>
          <w:rFonts w:ascii="Arial" w:eastAsia="Times New Roman" w:hAnsi="Arial" w:cs="Arial"/>
          <w:color w:val="000000"/>
          <w:sz w:val="22"/>
          <w:szCs w:val="22"/>
          <w:lang w:eastAsia="zh-CN"/>
        </w:rPr>
      </w:pPr>
      <w:r>
        <w:rPr>
          <w:rFonts w:ascii="Arial" w:eastAsia="Times New Roman" w:hAnsi="Arial" w:cs="Arial"/>
          <w:color w:val="000000"/>
          <w:sz w:val="22"/>
          <w:szCs w:val="22"/>
          <w:lang w:eastAsia="zh-CN"/>
        </w:rPr>
        <w:t>« </w:t>
      </w:r>
      <w:r w:rsidR="00EF47DC" w:rsidRPr="00EF47DC">
        <w:rPr>
          <w:rFonts w:ascii="Arial" w:eastAsia="Times New Roman" w:hAnsi="Arial" w:cs="Arial"/>
          <w:color w:val="000000"/>
          <w:sz w:val="22"/>
          <w:szCs w:val="22"/>
          <w:lang w:eastAsia="zh-CN"/>
        </w:rPr>
        <w:t>La loi de finances 2019 prévoit la baisse du taux de TVA de 10 à 5,5% sur les prestations relatives aux déchets. Toutefois, cette modification de taux n’entrera en vigueur qu’en 2021.</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A compter du 1</w:t>
      </w:r>
      <w:r w:rsidRPr="00EF47DC">
        <w:rPr>
          <w:rFonts w:ascii="Arial" w:eastAsia="Times New Roman" w:hAnsi="Arial" w:cs="Arial"/>
          <w:color w:val="000000"/>
          <w:sz w:val="22"/>
          <w:szCs w:val="22"/>
          <w:vertAlign w:val="superscript"/>
          <w:lang w:eastAsia="zh-CN"/>
        </w:rPr>
        <w:t>er</w:t>
      </w:r>
      <w:r w:rsidRPr="00EF47DC">
        <w:rPr>
          <w:rFonts w:ascii="Arial" w:eastAsia="Times New Roman" w:hAnsi="Arial" w:cs="Arial"/>
          <w:color w:val="000000"/>
          <w:sz w:val="22"/>
          <w:szCs w:val="22"/>
          <w:lang w:eastAsia="zh-CN"/>
        </w:rPr>
        <w:t xml:space="preserve"> janvier 2019, la déclaration au FCTVA devait être automatisée, au fur et à mesure du mandatement des dépenses éligibles par les collectivités. Cette automatisation est décalée au 1</w:t>
      </w:r>
      <w:r w:rsidRPr="00EF47DC">
        <w:rPr>
          <w:rFonts w:ascii="Arial" w:eastAsia="Times New Roman" w:hAnsi="Arial" w:cs="Arial"/>
          <w:color w:val="000000"/>
          <w:sz w:val="22"/>
          <w:szCs w:val="22"/>
          <w:vertAlign w:val="superscript"/>
          <w:lang w:eastAsia="zh-CN"/>
        </w:rPr>
        <w:t>er</w:t>
      </w:r>
      <w:r w:rsidRPr="00EF47DC">
        <w:rPr>
          <w:rFonts w:ascii="Arial" w:eastAsia="Times New Roman" w:hAnsi="Arial" w:cs="Arial"/>
          <w:color w:val="000000"/>
          <w:sz w:val="22"/>
          <w:szCs w:val="22"/>
          <w:lang w:eastAsia="zh-CN"/>
        </w:rPr>
        <w:t xml:space="preserve"> janvier 2020.</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L’Etat envisage de réunir le compte administratif et le compte de gestion des collectivités dans un compte financier unique, dans le but de rationaliser et de simplifier la lecture des comptes</w:t>
      </w:r>
      <w:r w:rsidR="00AA119F">
        <w:rPr>
          <w:rFonts w:ascii="Arial" w:eastAsia="Times New Roman" w:hAnsi="Arial" w:cs="Arial"/>
          <w:color w:val="000000"/>
          <w:sz w:val="22"/>
          <w:szCs w:val="22"/>
          <w:lang w:eastAsia="zh-CN"/>
        </w:rPr>
        <w:t> »</w:t>
      </w:r>
      <w:r w:rsidRPr="00EF47DC">
        <w:rPr>
          <w:rFonts w:ascii="Arial" w:eastAsia="Times New Roman" w:hAnsi="Arial" w:cs="Arial"/>
          <w:color w:val="000000"/>
          <w:sz w:val="22"/>
          <w:szCs w:val="22"/>
          <w:lang w:eastAsia="zh-CN"/>
        </w:rPr>
        <w:t>.</w:t>
      </w:r>
    </w:p>
    <w:tbl>
      <w:tblPr>
        <w:tblW w:w="10545" w:type="dxa"/>
        <w:tblLayout w:type="fixed"/>
        <w:tblCellMar>
          <w:left w:w="0" w:type="dxa"/>
          <w:right w:w="0" w:type="dxa"/>
        </w:tblCellMar>
        <w:tblLook w:val="01E0" w:firstRow="1" w:lastRow="1" w:firstColumn="1" w:lastColumn="1" w:noHBand="0" w:noVBand="0"/>
      </w:tblPr>
      <w:tblGrid>
        <w:gridCol w:w="10545"/>
      </w:tblGrid>
      <w:tr w:rsidR="00EF47DC" w:rsidRPr="00EF47DC" w:rsidTr="00904846">
        <w:trPr>
          <w:trHeight w:val="668"/>
        </w:trPr>
        <w:tc>
          <w:tcPr>
            <w:tcW w:w="10545" w:type="dxa"/>
            <w:tcMar>
              <w:top w:w="0" w:type="dxa"/>
              <w:left w:w="0" w:type="dxa"/>
              <w:bottom w:w="0" w:type="dxa"/>
              <w:right w:w="0" w:type="dxa"/>
            </w:tcMar>
            <w:vAlign w:val="center"/>
          </w:tcPr>
          <w:p w:rsidR="00EF47DC" w:rsidRPr="00AA119F" w:rsidRDefault="00EF47DC" w:rsidP="00EF47DC">
            <w:pPr>
              <w:spacing w:after="0" w:line="240" w:lineRule="auto"/>
              <w:rPr>
                <w:rFonts w:ascii="Arial" w:eastAsia="Times New Roman" w:hAnsi="Arial" w:cs="Arial"/>
                <w:bCs/>
                <w:i/>
                <w:color w:val="000000"/>
                <w:sz w:val="28"/>
                <w:szCs w:val="28"/>
                <w:lang w:eastAsia="zh-CN"/>
              </w:rPr>
            </w:pPr>
            <w:bookmarkStart w:id="1" w:name="__bookmark_27"/>
            <w:bookmarkStart w:id="2" w:name="__bookmark_39"/>
            <w:bookmarkEnd w:id="1"/>
            <w:bookmarkEnd w:id="2"/>
          </w:p>
          <w:p w:rsidR="00EF47DC" w:rsidRPr="0046176D" w:rsidRDefault="00AA119F" w:rsidP="00EF47DC">
            <w:pPr>
              <w:spacing w:after="0" w:line="240" w:lineRule="auto"/>
              <w:rPr>
                <w:rFonts w:ascii="Arial" w:eastAsia="Times New Roman" w:hAnsi="Arial" w:cs="Arial"/>
                <w:bCs/>
                <w:i/>
                <w:color w:val="000000"/>
                <w:sz w:val="22"/>
                <w:szCs w:val="22"/>
                <w:lang w:eastAsia="zh-CN"/>
              </w:rPr>
            </w:pPr>
            <w:r w:rsidRPr="0046176D">
              <w:rPr>
                <w:rFonts w:ascii="Arial" w:eastAsia="Times New Roman" w:hAnsi="Arial" w:cs="Arial"/>
                <w:bCs/>
                <w:i/>
                <w:color w:val="000000"/>
                <w:sz w:val="22"/>
                <w:szCs w:val="22"/>
                <w:lang w:eastAsia="zh-CN"/>
              </w:rPr>
              <w:t xml:space="preserve">Daniel ROBERT-CHARRERAU </w:t>
            </w:r>
            <w:r w:rsidR="00904846" w:rsidRPr="0046176D">
              <w:rPr>
                <w:rFonts w:ascii="Arial" w:eastAsia="Times New Roman" w:hAnsi="Arial" w:cs="Arial"/>
                <w:bCs/>
                <w:i/>
                <w:color w:val="000000"/>
                <w:sz w:val="22"/>
                <w:szCs w:val="22"/>
                <w:lang w:eastAsia="zh-CN"/>
              </w:rPr>
              <w:t>présente les prévisions en matière de fiscalité directe</w:t>
            </w:r>
            <w:r w:rsidRPr="0046176D">
              <w:rPr>
                <w:rFonts w:ascii="Arial" w:eastAsia="Times New Roman" w:hAnsi="Arial" w:cs="Arial"/>
                <w:bCs/>
                <w:i/>
                <w:color w:val="000000"/>
                <w:sz w:val="22"/>
                <w:szCs w:val="22"/>
                <w:lang w:eastAsia="zh-CN"/>
              </w:rPr>
              <w:t>.</w:t>
            </w:r>
          </w:p>
          <w:p w:rsidR="00EF47DC" w:rsidRPr="0046176D" w:rsidRDefault="00EF47DC" w:rsidP="00EF47DC">
            <w:pPr>
              <w:spacing w:after="0" w:line="1" w:lineRule="auto"/>
              <w:rPr>
                <w:rFonts w:ascii="Times New Roman" w:eastAsia="Times New Roman" w:hAnsi="Times New Roman" w:cs="Times New Roman"/>
                <w:i/>
                <w:sz w:val="20"/>
                <w:szCs w:val="20"/>
                <w:lang w:eastAsia="zh-CN"/>
              </w:rPr>
            </w:pPr>
          </w:p>
        </w:tc>
      </w:tr>
    </w:tbl>
    <w:p w:rsidR="00EF47DC" w:rsidRPr="0046176D" w:rsidRDefault="00EF47DC" w:rsidP="00EF47DC">
      <w:pPr>
        <w:spacing w:after="0" w:line="240" w:lineRule="auto"/>
        <w:rPr>
          <w:rFonts w:ascii="Times New Roman" w:eastAsia="Times New Roman" w:hAnsi="Times New Roman" w:cs="Times New Roman"/>
          <w:color w:val="000000"/>
          <w:sz w:val="20"/>
          <w:szCs w:val="20"/>
          <w:lang w:eastAsia="zh-CN"/>
        </w:rPr>
      </w:pPr>
    </w:p>
    <w:p w:rsidR="00EF47DC" w:rsidRPr="00EF47DC" w:rsidRDefault="00AA119F" w:rsidP="00EF47DC">
      <w:pPr>
        <w:spacing w:after="0" w:line="240" w:lineRule="auto"/>
        <w:jc w:val="both"/>
        <w:rPr>
          <w:rFonts w:ascii="Arial" w:eastAsia="Times New Roman" w:hAnsi="Arial" w:cs="Arial"/>
          <w:sz w:val="22"/>
          <w:szCs w:val="22"/>
          <w:lang w:eastAsia="zh-CN"/>
        </w:rPr>
      </w:pPr>
      <w:bookmarkStart w:id="3" w:name="__bookmark_40"/>
      <w:bookmarkStart w:id="4" w:name="__bookmark_52"/>
      <w:bookmarkEnd w:id="3"/>
      <w:bookmarkEnd w:id="4"/>
      <w:r>
        <w:rPr>
          <w:rFonts w:ascii="Arial" w:eastAsia="Times New Roman" w:hAnsi="Arial" w:cs="Arial"/>
          <w:sz w:val="22"/>
          <w:szCs w:val="22"/>
          <w:lang w:eastAsia="zh-CN"/>
        </w:rPr>
        <w:t>« </w:t>
      </w:r>
      <w:r w:rsidR="00EF47DC" w:rsidRPr="00EF47DC">
        <w:rPr>
          <w:rFonts w:ascii="Arial" w:eastAsia="Times New Roman" w:hAnsi="Arial" w:cs="Arial"/>
          <w:sz w:val="22"/>
          <w:szCs w:val="22"/>
          <w:lang w:eastAsia="zh-CN"/>
        </w:rPr>
        <w:t>Les bases d’imposition prévisionnelles 2019 n’ont pas encore été notifiées par l’Etat à la commune. En outre, il est parfois constaté que la progression annoncée est moins importante que prévu, lorsque les bases définitives sont notifiées à la fin de l’exercice.</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C’est pourquoi, par prudence, en attendant le budget primitif 2019, des bases d’imposition stables sont prises en compte pour 2019 et les exercices à venir.</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Les taux d’imposition ne sont pas modifiés non plus, à savoir :</w:t>
      </w:r>
    </w:p>
    <w:p w:rsidR="00EF47DC" w:rsidRPr="00EF47DC" w:rsidRDefault="00EF47DC" w:rsidP="00EF47DC">
      <w:pPr>
        <w:autoSpaceDE w:val="0"/>
        <w:autoSpaceDN w:val="0"/>
        <w:adjustRightInd w:val="0"/>
        <w:spacing w:after="0" w:line="240" w:lineRule="auto"/>
        <w:jc w:val="both"/>
        <w:rPr>
          <w:rFonts w:ascii="Arial" w:eastAsia="Times New Roman" w:hAnsi="Arial" w:cs="Arial"/>
          <w:sz w:val="22"/>
          <w:szCs w:val="22"/>
          <w:lang w:eastAsia="fr-FR"/>
        </w:rPr>
      </w:pPr>
    </w:p>
    <w:p w:rsidR="00EF47DC" w:rsidRPr="00EF47DC" w:rsidRDefault="00EF47DC" w:rsidP="00346E72">
      <w:pPr>
        <w:numPr>
          <w:ilvl w:val="0"/>
          <w:numId w:val="4"/>
        </w:numPr>
        <w:tabs>
          <w:tab w:val="left" w:pos="1418"/>
          <w:tab w:val="left" w:pos="4962"/>
        </w:tabs>
        <w:autoSpaceDE w:val="0"/>
        <w:autoSpaceDN w:val="0"/>
        <w:adjustRightInd w:val="0"/>
        <w:spacing w:after="0" w:line="240" w:lineRule="auto"/>
        <w:jc w:val="both"/>
        <w:rPr>
          <w:rFonts w:ascii="Arial" w:eastAsia="Times New Roman" w:hAnsi="Arial" w:cs="Arial"/>
          <w:sz w:val="22"/>
          <w:szCs w:val="22"/>
          <w:lang w:eastAsia="fr-FR"/>
        </w:rPr>
      </w:pPr>
      <w:r w:rsidRPr="00EF47DC">
        <w:rPr>
          <w:rFonts w:ascii="Arial" w:eastAsia="Times New Roman" w:hAnsi="Arial" w:cs="Arial"/>
          <w:sz w:val="22"/>
          <w:szCs w:val="22"/>
          <w:lang w:eastAsia="fr-FR"/>
        </w:rPr>
        <w:t>taxe d’habitation (TH) :</w:t>
      </w:r>
      <w:r w:rsidRPr="00EF47DC">
        <w:rPr>
          <w:rFonts w:ascii="Arial" w:eastAsia="Times New Roman" w:hAnsi="Arial" w:cs="Arial"/>
          <w:sz w:val="22"/>
          <w:szCs w:val="22"/>
          <w:lang w:eastAsia="fr-FR"/>
        </w:rPr>
        <w:tab/>
        <w:t xml:space="preserve">  </w:t>
      </w:r>
      <w:r w:rsidRPr="00EF47DC">
        <w:rPr>
          <w:rFonts w:ascii="Arial" w:eastAsia="Times New Roman" w:hAnsi="Arial" w:cs="Arial"/>
          <w:sz w:val="22"/>
          <w:szCs w:val="22"/>
          <w:lang w:eastAsia="fr-FR"/>
        </w:rPr>
        <w:tab/>
      </w:r>
      <w:r w:rsidRPr="00EF47DC">
        <w:rPr>
          <w:rFonts w:ascii="Arial" w:eastAsia="Times New Roman" w:hAnsi="Arial" w:cs="Arial"/>
          <w:sz w:val="22"/>
          <w:szCs w:val="22"/>
          <w:lang w:eastAsia="fr-FR"/>
        </w:rPr>
        <w:tab/>
        <w:t>9,93 %</w:t>
      </w:r>
    </w:p>
    <w:p w:rsidR="00EF47DC" w:rsidRDefault="00EF47DC" w:rsidP="00346E72">
      <w:pPr>
        <w:numPr>
          <w:ilvl w:val="0"/>
          <w:numId w:val="4"/>
        </w:numPr>
        <w:tabs>
          <w:tab w:val="left" w:pos="1418"/>
          <w:tab w:val="left" w:pos="4962"/>
        </w:tabs>
        <w:autoSpaceDE w:val="0"/>
        <w:autoSpaceDN w:val="0"/>
        <w:adjustRightInd w:val="0"/>
        <w:spacing w:after="0" w:line="240" w:lineRule="auto"/>
        <w:jc w:val="both"/>
        <w:rPr>
          <w:rFonts w:ascii="Arial" w:eastAsia="Times New Roman" w:hAnsi="Arial" w:cs="Arial"/>
          <w:sz w:val="22"/>
          <w:szCs w:val="22"/>
          <w:lang w:eastAsia="fr-FR"/>
        </w:rPr>
      </w:pPr>
      <w:r w:rsidRPr="00EF47DC">
        <w:rPr>
          <w:rFonts w:ascii="Arial" w:eastAsia="Times New Roman" w:hAnsi="Arial" w:cs="Arial"/>
          <w:sz w:val="22"/>
          <w:szCs w:val="22"/>
          <w:lang w:eastAsia="fr-FR"/>
        </w:rPr>
        <w:t>taxe foncière sur les propriétés bâties (TFPB) :</w:t>
      </w:r>
      <w:r w:rsidRPr="00EF47DC">
        <w:rPr>
          <w:rFonts w:ascii="Arial" w:eastAsia="Times New Roman" w:hAnsi="Arial" w:cs="Arial"/>
          <w:sz w:val="22"/>
          <w:szCs w:val="22"/>
          <w:lang w:eastAsia="fr-FR"/>
        </w:rPr>
        <w:tab/>
      </w:r>
      <w:r w:rsidRPr="00EF47DC">
        <w:rPr>
          <w:rFonts w:ascii="Arial" w:eastAsia="Times New Roman" w:hAnsi="Arial" w:cs="Arial"/>
          <w:sz w:val="22"/>
          <w:szCs w:val="22"/>
          <w:lang w:eastAsia="fr-FR"/>
        </w:rPr>
        <w:tab/>
        <w:t>25,56 %</w:t>
      </w:r>
    </w:p>
    <w:p w:rsidR="001960F6" w:rsidRPr="001960F6" w:rsidRDefault="001960F6" w:rsidP="001960F6">
      <w:pPr>
        <w:pStyle w:val="Paragraphedeliste"/>
        <w:numPr>
          <w:ilvl w:val="0"/>
          <w:numId w:val="4"/>
        </w:numPr>
        <w:tabs>
          <w:tab w:val="left" w:pos="1134"/>
        </w:tabs>
        <w:spacing w:after="0" w:line="240" w:lineRule="auto"/>
        <w:rPr>
          <w:rFonts w:ascii="Arial" w:eastAsia="Times New Roman" w:hAnsi="Arial" w:cs="Arial"/>
          <w:sz w:val="22"/>
          <w:szCs w:val="22"/>
          <w:lang w:eastAsia="fr-FR"/>
        </w:rPr>
      </w:pPr>
      <w:r w:rsidRPr="001960F6">
        <w:rPr>
          <w:rFonts w:ascii="Arial" w:eastAsia="Times New Roman" w:hAnsi="Arial" w:cs="Arial"/>
          <w:sz w:val="22"/>
          <w:szCs w:val="22"/>
          <w:lang w:eastAsia="fr-FR"/>
        </w:rPr>
        <w:t>taxe foncière sur les propriétés non bâties (TFPNB) :</w:t>
      </w:r>
      <w:r w:rsidRPr="001960F6">
        <w:rPr>
          <w:rFonts w:ascii="Arial" w:eastAsia="Times New Roman" w:hAnsi="Arial" w:cs="Arial"/>
          <w:sz w:val="22"/>
          <w:szCs w:val="22"/>
          <w:lang w:eastAsia="fr-FR"/>
        </w:rPr>
        <w:tab/>
        <w:t>81,13%</w:t>
      </w:r>
      <w:bookmarkStart w:id="5" w:name="__bookmark_54"/>
      <w:bookmarkEnd w:id="5"/>
      <w:r>
        <w:rPr>
          <w:rFonts w:ascii="Arial" w:eastAsia="Times New Roman" w:hAnsi="Arial" w:cs="Arial"/>
          <w:sz w:val="22"/>
          <w:szCs w:val="22"/>
          <w:lang w:eastAsia="fr-FR"/>
        </w:rPr>
        <w:t> »</w:t>
      </w:r>
    </w:p>
    <w:p w:rsidR="001960F6" w:rsidRPr="00EF47DC" w:rsidRDefault="001960F6" w:rsidP="001960F6">
      <w:pPr>
        <w:tabs>
          <w:tab w:val="left" w:pos="1418"/>
          <w:tab w:val="left" w:pos="4962"/>
        </w:tabs>
        <w:autoSpaceDE w:val="0"/>
        <w:autoSpaceDN w:val="0"/>
        <w:adjustRightInd w:val="0"/>
        <w:spacing w:after="0" w:line="240" w:lineRule="auto"/>
        <w:ind w:left="1080"/>
        <w:jc w:val="both"/>
        <w:rPr>
          <w:rFonts w:ascii="Arial" w:eastAsia="Times New Roman" w:hAnsi="Arial" w:cs="Arial"/>
          <w:sz w:val="22"/>
          <w:szCs w:val="22"/>
          <w:lang w:eastAsia="fr-FR"/>
        </w:rPr>
      </w:pPr>
    </w:p>
    <w:tbl>
      <w:tblPr>
        <w:tblW w:w="10545" w:type="dxa"/>
        <w:tblLayout w:type="fixed"/>
        <w:tblCellMar>
          <w:left w:w="0" w:type="dxa"/>
          <w:right w:w="0" w:type="dxa"/>
        </w:tblCellMar>
        <w:tblLook w:val="01E0" w:firstRow="1" w:lastRow="1" w:firstColumn="1" w:lastColumn="1" w:noHBand="0" w:noVBand="0"/>
      </w:tblPr>
      <w:tblGrid>
        <w:gridCol w:w="10545"/>
      </w:tblGrid>
      <w:tr w:rsidR="001960F6" w:rsidRPr="00EF47DC" w:rsidTr="00F5712A">
        <w:tc>
          <w:tcPr>
            <w:tcW w:w="10545" w:type="dxa"/>
            <w:tcMar>
              <w:top w:w="0" w:type="dxa"/>
              <w:left w:w="0" w:type="dxa"/>
              <w:bottom w:w="0" w:type="dxa"/>
              <w:right w:w="0" w:type="dxa"/>
            </w:tcMar>
            <w:vAlign w:val="center"/>
          </w:tcPr>
          <w:p w:rsidR="001960F6" w:rsidRPr="00EF47DC" w:rsidRDefault="001960F6" w:rsidP="000E644E">
            <w:pPr>
              <w:spacing w:after="0" w:line="240" w:lineRule="auto"/>
              <w:rPr>
                <w:rFonts w:ascii="Arial" w:eastAsia="Times New Roman" w:hAnsi="Arial" w:cs="Arial"/>
                <w:sz w:val="22"/>
                <w:szCs w:val="22"/>
                <w:lang w:eastAsia="fr-FR"/>
              </w:rPr>
            </w:pPr>
          </w:p>
        </w:tc>
      </w:tr>
    </w:tbl>
    <w:p w:rsidR="00AA119F" w:rsidRPr="0046176D" w:rsidRDefault="00AA119F" w:rsidP="00EF47DC">
      <w:pPr>
        <w:spacing w:after="0" w:line="240" w:lineRule="auto"/>
        <w:rPr>
          <w:rFonts w:ascii="Arial" w:eastAsia="Times New Roman" w:hAnsi="Arial" w:cs="Arial"/>
          <w:i/>
          <w:color w:val="000000"/>
          <w:sz w:val="22"/>
          <w:szCs w:val="22"/>
          <w:lang w:eastAsia="zh-CN"/>
        </w:rPr>
      </w:pPr>
      <w:r w:rsidRPr="0046176D">
        <w:rPr>
          <w:rFonts w:ascii="Arial" w:eastAsia="Times New Roman" w:hAnsi="Arial" w:cs="Arial"/>
          <w:i/>
          <w:color w:val="000000"/>
          <w:sz w:val="22"/>
          <w:szCs w:val="22"/>
          <w:lang w:eastAsia="zh-CN"/>
        </w:rPr>
        <w:t>Daniel ROBERT-CHARRERAU présente le tableau de la prospection financière 2019-2022</w:t>
      </w:r>
      <w:r w:rsidR="001960F6" w:rsidRPr="0046176D">
        <w:rPr>
          <w:rFonts w:ascii="Arial" w:eastAsia="Times New Roman" w:hAnsi="Arial" w:cs="Arial"/>
          <w:i/>
          <w:color w:val="000000"/>
          <w:sz w:val="22"/>
          <w:szCs w:val="22"/>
          <w:lang w:eastAsia="zh-CN"/>
        </w:rPr>
        <w:t xml:space="preserve"> annexée au present procès-verbal. </w:t>
      </w:r>
    </w:p>
    <w:p w:rsidR="00AA119F" w:rsidRPr="0046176D" w:rsidRDefault="00AA119F" w:rsidP="00EF47DC">
      <w:pPr>
        <w:spacing w:after="0" w:line="240" w:lineRule="auto"/>
        <w:rPr>
          <w:rFonts w:ascii="Arial" w:eastAsia="Times New Roman" w:hAnsi="Arial" w:cs="Arial"/>
          <w:i/>
          <w:color w:val="000000"/>
          <w:sz w:val="22"/>
          <w:szCs w:val="22"/>
          <w:lang w:eastAsia="zh-CN"/>
        </w:rPr>
      </w:pPr>
    </w:p>
    <w:p w:rsidR="001960F6" w:rsidRPr="001960F6" w:rsidRDefault="001960F6" w:rsidP="001960F6">
      <w:pPr>
        <w:spacing w:after="0" w:line="240" w:lineRule="auto"/>
        <w:jc w:val="both"/>
        <w:rPr>
          <w:rFonts w:ascii="Arial" w:eastAsia="Times New Roman" w:hAnsi="Arial" w:cs="Arial"/>
          <w:i/>
          <w:sz w:val="22"/>
          <w:szCs w:val="22"/>
          <w:lang w:eastAsia="zh-CN"/>
        </w:rPr>
      </w:pPr>
      <w:r w:rsidRPr="001960F6">
        <w:rPr>
          <w:rFonts w:ascii="Arial" w:eastAsia="Times New Roman" w:hAnsi="Arial" w:cs="Arial"/>
          <w:i/>
          <w:sz w:val="22"/>
          <w:szCs w:val="22"/>
          <w:lang w:eastAsia="zh-CN"/>
        </w:rPr>
        <w:t>Pour la lecture des rubriques du tableau :</w:t>
      </w:r>
    </w:p>
    <w:p w:rsidR="001960F6" w:rsidRPr="001960F6" w:rsidRDefault="001960F6" w:rsidP="001960F6">
      <w:pPr>
        <w:spacing w:after="0" w:line="240" w:lineRule="auto"/>
        <w:jc w:val="both"/>
        <w:rPr>
          <w:rFonts w:ascii="Arial" w:eastAsia="Times New Roman" w:hAnsi="Arial" w:cs="Arial"/>
          <w:bCs/>
          <w:sz w:val="22"/>
          <w:szCs w:val="22"/>
          <w:lang w:eastAsia="zh-CN"/>
        </w:rPr>
      </w:pPr>
    </w:p>
    <w:p w:rsidR="001960F6" w:rsidRPr="001960F6" w:rsidRDefault="001960F6" w:rsidP="001960F6">
      <w:pPr>
        <w:spacing w:after="0" w:line="240" w:lineRule="auto"/>
        <w:jc w:val="both"/>
        <w:rPr>
          <w:rFonts w:ascii="Arial" w:eastAsia="Times New Roman" w:hAnsi="Arial" w:cs="Arial"/>
          <w:bCs/>
          <w:sz w:val="22"/>
          <w:szCs w:val="22"/>
          <w:lang w:eastAsia="zh-CN"/>
        </w:rPr>
      </w:pPr>
      <w:r w:rsidRPr="001960F6">
        <w:rPr>
          <w:rFonts w:ascii="Arial" w:eastAsia="Times New Roman" w:hAnsi="Arial" w:cs="Arial"/>
          <w:bCs/>
          <w:sz w:val="22"/>
          <w:szCs w:val="22"/>
          <w:lang w:eastAsia="zh-CN"/>
        </w:rPr>
        <w:t xml:space="preserve">En </w:t>
      </w:r>
      <w:r w:rsidRPr="001960F6">
        <w:rPr>
          <w:rFonts w:ascii="Arial" w:eastAsia="Times New Roman" w:hAnsi="Arial" w:cs="Arial"/>
          <w:bCs/>
          <w:sz w:val="22"/>
          <w:szCs w:val="22"/>
          <w:u w:val="single"/>
          <w:lang w:eastAsia="zh-CN"/>
        </w:rPr>
        <w:t>fonctionnement</w:t>
      </w:r>
      <w:r w:rsidRPr="001960F6">
        <w:rPr>
          <w:rFonts w:ascii="Arial" w:eastAsia="Times New Roman" w:hAnsi="Arial" w:cs="Arial"/>
          <w:bCs/>
          <w:sz w:val="22"/>
          <w:szCs w:val="22"/>
          <w:lang w:eastAsia="zh-CN"/>
        </w:rPr>
        <w:t>, les autres recettes d’exploitation regroupent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les produits des services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les remboursements sur les rémunérations des agents et les remboursements par les fournisseurs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les remboursements d’assurances et les revenus des immeubles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les cessions.</w:t>
      </w:r>
    </w:p>
    <w:p w:rsidR="001960F6" w:rsidRPr="001960F6" w:rsidRDefault="001960F6" w:rsidP="001960F6">
      <w:pPr>
        <w:spacing w:after="0" w:line="240" w:lineRule="auto"/>
        <w:jc w:val="both"/>
        <w:rPr>
          <w:rFonts w:ascii="Arial" w:eastAsia="Times New Roman" w:hAnsi="Arial" w:cs="Arial"/>
          <w:bCs/>
          <w:sz w:val="22"/>
          <w:szCs w:val="22"/>
          <w:lang w:eastAsia="zh-CN"/>
        </w:rPr>
      </w:pPr>
    </w:p>
    <w:p w:rsidR="001960F6" w:rsidRPr="001960F6" w:rsidRDefault="001960F6" w:rsidP="001960F6">
      <w:pPr>
        <w:spacing w:after="0" w:line="240" w:lineRule="auto"/>
        <w:jc w:val="both"/>
        <w:rPr>
          <w:rFonts w:ascii="Arial" w:eastAsia="Times New Roman" w:hAnsi="Arial" w:cs="Arial"/>
          <w:bCs/>
          <w:sz w:val="22"/>
          <w:szCs w:val="22"/>
          <w:lang w:eastAsia="zh-CN"/>
        </w:rPr>
      </w:pPr>
      <w:r w:rsidRPr="001960F6">
        <w:rPr>
          <w:rFonts w:ascii="Arial" w:eastAsia="Times New Roman" w:hAnsi="Arial" w:cs="Arial"/>
          <w:bCs/>
          <w:sz w:val="22"/>
          <w:szCs w:val="22"/>
          <w:lang w:eastAsia="zh-CN"/>
        </w:rPr>
        <w:t>Les autres dépenses de fonctionnement regroupent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les atténuations de produits (FPIC)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les charges exceptionnelles.</w:t>
      </w:r>
    </w:p>
    <w:p w:rsidR="001960F6" w:rsidRPr="001960F6" w:rsidRDefault="001960F6" w:rsidP="001960F6">
      <w:pPr>
        <w:spacing w:after="0" w:line="240" w:lineRule="auto"/>
        <w:jc w:val="both"/>
        <w:rPr>
          <w:rFonts w:ascii="Arial" w:eastAsia="Times New Roman" w:hAnsi="Arial" w:cs="Arial"/>
          <w:bCs/>
          <w:sz w:val="22"/>
          <w:szCs w:val="22"/>
          <w:lang w:val="en-US" w:eastAsia="zh-CN"/>
        </w:rPr>
      </w:pPr>
    </w:p>
    <w:p w:rsidR="001960F6" w:rsidRPr="001960F6" w:rsidRDefault="001960F6" w:rsidP="001960F6">
      <w:pPr>
        <w:spacing w:after="0" w:line="240" w:lineRule="auto"/>
        <w:jc w:val="both"/>
        <w:rPr>
          <w:rFonts w:ascii="Arial" w:eastAsia="Times New Roman" w:hAnsi="Arial" w:cs="Arial"/>
          <w:bCs/>
          <w:sz w:val="22"/>
          <w:szCs w:val="22"/>
          <w:lang w:eastAsia="zh-CN"/>
        </w:rPr>
      </w:pPr>
      <w:r w:rsidRPr="001960F6">
        <w:rPr>
          <w:rFonts w:ascii="Arial" w:eastAsia="Times New Roman" w:hAnsi="Arial" w:cs="Arial"/>
          <w:bCs/>
          <w:sz w:val="22"/>
          <w:szCs w:val="22"/>
          <w:lang w:eastAsia="zh-CN"/>
        </w:rPr>
        <w:t xml:space="preserve">En </w:t>
      </w:r>
      <w:r w:rsidRPr="001960F6">
        <w:rPr>
          <w:rFonts w:ascii="Arial" w:eastAsia="Times New Roman" w:hAnsi="Arial" w:cs="Arial"/>
          <w:bCs/>
          <w:sz w:val="22"/>
          <w:szCs w:val="22"/>
          <w:u w:val="single"/>
          <w:lang w:eastAsia="zh-CN"/>
        </w:rPr>
        <w:t>investissement</w:t>
      </w:r>
      <w:r w:rsidRPr="001960F6">
        <w:rPr>
          <w:rFonts w:ascii="Arial" w:eastAsia="Times New Roman" w:hAnsi="Arial" w:cs="Arial"/>
          <w:bCs/>
          <w:sz w:val="22"/>
          <w:szCs w:val="22"/>
          <w:lang w:eastAsia="zh-CN"/>
        </w:rPr>
        <w:t>, les autres recettes regroupent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 produit des taxes d’urbanisme ;</w:t>
      </w:r>
    </w:p>
    <w:p w:rsidR="001960F6" w:rsidRPr="001960F6" w:rsidRDefault="001960F6" w:rsidP="001960F6">
      <w:pPr>
        <w:numPr>
          <w:ilvl w:val="0"/>
          <w:numId w:val="3"/>
        </w:numPr>
        <w:spacing w:after="0" w:line="240" w:lineRule="auto"/>
        <w:contextualSpacing/>
        <w:jc w:val="both"/>
        <w:rPr>
          <w:rFonts w:ascii="Arial" w:eastAsia="Calibri" w:hAnsi="Arial" w:cs="Arial"/>
          <w:bCs/>
          <w:sz w:val="22"/>
          <w:szCs w:val="22"/>
        </w:rPr>
      </w:pPr>
      <w:r w:rsidRPr="001960F6">
        <w:rPr>
          <w:rFonts w:ascii="Arial" w:eastAsia="Calibri" w:hAnsi="Arial" w:cs="Arial"/>
          <w:bCs/>
          <w:sz w:val="22"/>
          <w:szCs w:val="22"/>
        </w:rPr>
        <w:t>les subventions perçues ;</w:t>
      </w:r>
    </w:p>
    <w:p w:rsidR="001960F6" w:rsidRPr="0046176D" w:rsidRDefault="001960F6" w:rsidP="001960F6">
      <w:pPr>
        <w:spacing w:after="0" w:line="240" w:lineRule="auto"/>
        <w:rPr>
          <w:rFonts w:ascii="Arial" w:eastAsia="Times New Roman" w:hAnsi="Arial" w:cs="Arial"/>
          <w:i/>
          <w:color w:val="000000"/>
          <w:sz w:val="22"/>
          <w:szCs w:val="22"/>
          <w:lang w:eastAsia="zh-CN"/>
        </w:rPr>
      </w:pPr>
      <w:r w:rsidRPr="0046176D">
        <w:rPr>
          <w:rFonts w:ascii="Arial" w:eastAsia="Times New Roman" w:hAnsi="Arial" w:cs="Arial"/>
          <w:bCs/>
          <w:sz w:val="20"/>
          <w:szCs w:val="20"/>
          <w:lang w:eastAsia="zh-CN"/>
        </w:rPr>
        <w:t>les sommes dues par des tiers au titre des travaux d’office</w:t>
      </w:r>
    </w:p>
    <w:p w:rsidR="001960F6" w:rsidRPr="0046176D" w:rsidRDefault="001960F6" w:rsidP="00EF47DC">
      <w:pPr>
        <w:spacing w:after="0" w:line="240" w:lineRule="auto"/>
        <w:rPr>
          <w:rFonts w:ascii="Arial" w:eastAsia="Times New Roman" w:hAnsi="Arial" w:cs="Arial"/>
          <w:i/>
          <w:color w:val="000000"/>
          <w:sz w:val="22"/>
          <w:szCs w:val="22"/>
          <w:lang w:eastAsia="zh-CN"/>
        </w:rPr>
      </w:pPr>
    </w:p>
    <w:p w:rsidR="000E644E" w:rsidRPr="0046176D" w:rsidRDefault="000E644E" w:rsidP="00EF47DC">
      <w:pPr>
        <w:spacing w:after="0" w:line="240" w:lineRule="auto"/>
        <w:rPr>
          <w:rFonts w:ascii="Arial" w:eastAsia="Times New Roman" w:hAnsi="Arial" w:cs="Arial"/>
          <w:i/>
          <w:color w:val="000000"/>
          <w:sz w:val="22"/>
          <w:szCs w:val="22"/>
          <w:lang w:eastAsia="zh-CN"/>
        </w:rPr>
      </w:pPr>
      <w:r w:rsidRPr="0046176D">
        <w:rPr>
          <w:rFonts w:ascii="Arial" w:eastAsia="Times New Roman" w:hAnsi="Arial" w:cs="Arial"/>
          <w:i/>
          <w:color w:val="000000"/>
          <w:sz w:val="22"/>
          <w:szCs w:val="22"/>
          <w:lang w:eastAsia="zh-CN"/>
        </w:rPr>
        <w:lastRenderedPageBreak/>
        <w:t>Daniel ROBERT-CHARRERAU présente les recettes de la section de fonctionnement.</w:t>
      </w:r>
    </w:p>
    <w:p w:rsidR="000E644E" w:rsidRPr="0046176D" w:rsidRDefault="000E644E" w:rsidP="00EF47DC">
      <w:pPr>
        <w:spacing w:after="0" w:line="240" w:lineRule="auto"/>
        <w:rPr>
          <w:rFonts w:ascii="Times New Roman" w:eastAsia="Times New Roman" w:hAnsi="Times New Roman" w:cs="Times New Roman"/>
          <w:color w:val="000000"/>
          <w:sz w:val="22"/>
          <w:szCs w:val="22"/>
          <w:lang w:eastAsia="zh-CN"/>
        </w:rPr>
      </w:pPr>
    </w:p>
    <w:tbl>
      <w:tblPr>
        <w:tblW w:w="10545" w:type="dxa"/>
        <w:tblLayout w:type="fixed"/>
        <w:tblCellMar>
          <w:left w:w="0" w:type="dxa"/>
          <w:right w:w="0" w:type="dxa"/>
        </w:tblCellMar>
        <w:tblLook w:val="01E0" w:firstRow="1" w:lastRow="1" w:firstColumn="1" w:lastColumn="1" w:noHBand="0" w:noVBand="0"/>
      </w:tblPr>
      <w:tblGrid>
        <w:gridCol w:w="10545"/>
      </w:tblGrid>
      <w:tr w:rsidR="00EF47DC" w:rsidRPr="00EF47DC" w:rsidTr="00F5712A">
        <w:tc>
          <w:tcPr>
            <w:tcW w:w="10545" w:type="dxa"/>
            <w:tcMar>
              <w:top w:w="0" w:type="dxa"/>
              <w:left w:w="0" w:type="dxa"/>
              <w:bottom w:w="0" w:type="dxa"/>
              <w:right w:w="0" w:type="dxa"/>
            </w:tcMar>
            <w:vAlign w:val="center"/>
          </w:tcPr>
          <w:p w:rsidR="00EF47DC" w:rsidRPr="0046176D" w:rsidRDefault="00EF47DC" w:rsidP="00EF47DC">
            <w:pPr>
              <w:spacing w:after="0" w:line="1" w:lineRule="auto"/>
              <w:rPr>
                <w:rFonts w:ascii="Times New Roman" w:eastAsia="Times New Roman" w:hAnsi="Times New Roman" w:cs="Times New Roman"/>
                <w:sz w:val="22"/>
                <w:szCs w:val="22"/>
                <w:lang w:eastAsia="zh-CN"/>
              </w:rPr>
            </w:pPr>
            <w:bookmarkStart w:id="6" w:name="__bookmark_55"/>
            <w:bookmarkEnd w:id="6"/>
          </w:p>
        </w:tc>
      </w:tr>
    </w:tbl>
    <w:p w:rsidR="00AA119F" w:rsidRPr="0046176D" w:rsidRDefault="00AA119F" w:rsidP="00EF47DC">
      <w:pPr>
        <w:spacing w:after="0" w:line="240" w:lineRule="auto"/>
        <w:rPr>
          <w:rFonts w:ascii="Times New Roman" w:eastAsia="Times New Roman" w:hAnsi="Times New Roman" w:cs="Times New Roman"/>
          <w:sz w:val="22"/>
          <w:szCs w:val="22"/>
          <w:lang w:eastAsia="zh-CN"/>
        </w:rPr>
      </w:pPr>
    </w:p>
    <w:p w:rsidR="00EF47DC" w:rsidRPr="00EF47DC" w:rsidRDefault="00EF47DC" w:rsidP="0081123C">
      <w:pPr>
        <w:spacing w:after="0" w:line="240" w:lineRule="auto"/>
        <w:jc w:val="both"/>
        <w:rPr>
          <w:rFonts w:ascii="Arial" w:eastAsia="Arial" w:hAnsi="Arial" w:cs="Arial"/>
          <w:b/>
          <w:bCs/>
          <w:color w:val="000000"/>
          <w:sz w:val="22"/>
          <w:szCs w:val="22"/>
          <w:lang w:eastAsia="zh-CN"/>
        </w:rPr>
      </w:pPr>
      <w:r w:rsidRPr="00EF47DC">
        <w:rPr>
          <w:rFonts w:ascii="Arial" w:eastAsia="Arial" w:hAnsi="Arial" w:cs="Arial"/>
          <w:b/>
          <w:bCs/>
          <w:color w:val="000000"/>
          <w:sz w:val="22"/>
          <w:szCs w:val="22"/>
          <w:lang w:eastAsia="zh-CN"/>
        </w:rPr>
        <w:t>Les hypothèses pour les principales recettes de fonctionnement :</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Produit des contributions directes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Des bases d’imposition stables sont prises en compte. Les taux d’imposition ne sont pas modifiés non plus.</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Fiscalité transférée (FNGIR)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La dotation en provenance du FNGIR s’élève au même montant qu’en 2018, à partir de 2019.</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Fiscalité indirecte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L’attribution de compensation versée par la communauté de communes s’élève à 1 980 893 euros, soit l’addition du montant de l’attribution</w:t>
      </w:r>
      <w:r w:rsidR="008B20E7">
        <w:rPr>
          <w:rFonts w:ascii="Arial" w:eastAsia="Times New Roman" w:hAnsi="Arial" w:cs="Arial"/>
          <w:sz w:val="22"/>
          <w:szCs w:val="22"/>
          <w:lang w:eastAsia="zh-CN"/>
        </w:rPr>
        <w:t xml:space="preserve"> de compensation</w:t>
      </w:r>
      <w:r w:rsidR="00D554A5">
        <w:rPr>
          <w:rFonts w:ascii="Arial" w:eastAsia="Times New Roman" w:hAnsi="Arial" w:cs="Arial"/>
          <w:sz w:val="22"/>
          <w:szCs w:val="22"/>
          <w:lang w:eastAsia="zh-CN"/>
        </w:rPr>
        <w:t xml:space="preserve"> (AC)</w:t>
      </w:r>
      <w:r w:rsidRPr="00EF47DC">
        <w:rPr>
          <w:rFonts w:ascii="Arial" w:eastAsia="Times New Roman" w:hAnsi="Arial" w:cs="Arial"/>
          <w:sz w:val="22"/>
          <w:szCs w:val="22"/>
          <w:lang w:eastAsia="zh-CN"/>
        </w:rPr>
        <w:t xml:space="preserve"> et de la dotation de solidarité communautaire (DSC) versé</w:t>
      </w:r>
      <w:r w:rsidR="00D2069E">
        <w:rPr>
          <w:rFonts w:ascii="Arial" w:eastAsia="Times New Roman" w:hAnsi="Arial" w:cs="Arial"/>
          <w:sz w:val="22"/>
          <w:szCs w:val="22"/>
          <w:lang w:eastAsia="zh-CN"/>
        </w:rPr>
        <w:t>e</w:t>
      </w:r>
      <w:r w:rsidRPr="00EF47DC">
        <w:rPr>
          <w:rFonts w:ascii="Arial" w:eastAsia="Times New Roman" w:hAnsi="Arial" w:cs="Arial"/>
          <w:sz w:val="22"/>
          <w:szCs w:val="22"/>
          <w:lang w:eastAsia="zh-CN"/>
        </w:rPr>
        <w:t>s en 2018, (1 257 572 euros + 723 321 euros). En effet, le montant de la DSC antérieurement versée aux communes, a été intégré dans l’attribution de compensation des communes, afin de faciliter la fusion avec le territoire de Beaurepaire au 1</w:t>
      </w:r>
      <w:r w:rsidRPr="00EF47DC">
        <w:rPr>
          <w:rFonts w:ascii="Arial" w:eastAsia="Times New Roman" w:hAnsi="Arial" w:cs="Arial"/>
          <w:sz w:val="22"/>
          <w:szCs w:val="22"/>
          <w:vertAlign w:val="superscript"/>
          <w:lang w:eastAsia="zh-CN"/>
        </w:rPr>
        <w:t>er</w:t>
      </w:r>
      <w:r w:rsidRPr="00EF47DC">
        <w:rPr>
          <w:rFonts w:ascii="Arial" w:eastAsia="Times New Roman" w:hAnsi="Arial" w:cs="Arial"/>
          <w:sz w:val="22"/>
          <w:szCs w:val="22"/>
          <w:lang w:eastAsia="zh-CN"/>
        </w:rPr>
        <w:t xml:space="preserve"> janvier 2019.</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Le montant global de cette nouvelle attribution de compensation reste stable par rapport à 2018 car il n’y a pas de transfert de compétences qui soit prévu pour le moment.</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Par ailleurs, une hypothèse prudente est prise en compte pour la recette en provenance de la taxe additionnelle aux droits de mutations. Elle est ainsi estimée à 130 000 euros au lieu de plus de 150 000 euros perçus en 2018, ce qui représentait une recette exceptionnellement élevée.</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Dotations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La dotation forfaitaire de l’Etat devrait être écrêtée de 37 686 euros en 2019, en vertu de la loi de finances pour 2019. Par ailleurs, la dotation de compensation de la réforme de la taxe professionnelle (DCRTP) disparaît et le fonds départemental de péréquation de taxe professionnelle (FDPTP) diminue encore, d’un montant estimé à 15 000 euros.</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Les prestations de la CAF diminuent de 9 500 euros en 2019 puis de 8 400 euros en 2020, comme prévu par les modalités de réfaction des financements versés par la CAF dans le cadre du contrat enfance jeunesse.</w:t>
      </w:r>
    </w:p>
    <w:p w:rsidR="00EF47DC" w:rsidRPr="00EF47DC" w:rsidRDefault="00EF47DC" w:rsidP="00EF47DC">
      <w:pPr>
        <w:spacing w:after="0" w:line="240" w:lineRule="auto"/>
        <w:jc w:val="both"/>
        <w:rPr>
          <w:rFonts w:ascii="Arial" w:eastAsia="Times New Roman" w:hAnsi="Arial" w:cs="Arial"/>
          <w:b/>
          <w:sz w:val="22"/>
          <w:szCs w:val="22"/>
          <w:lang w:eastAsia="zh-CN"/>
        </w:rPr>
      </w:pP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b/>
          <w:sz w:val="22"/>
          <w:szCs w:val="22"/>
          <w:lang w:eastAsia="zh-CN"/>
        </w:rPr>
        <w:t>Autres recettes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Les remboursements de rémunérations d’agents ou en provenance de fournisseurs sont estimés à 11 000 euros en 2019, certains versements exceptionnels en 2018 (près de 64 000 euros au total) n’étant pas destinés à se poursuivre car des agents en situation de longue maladie ou d’accident du travail, risques pour lesquels la commune est assurée, sont revenus.</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Les produits des services sont estimés à 133 800 euros, compte-tenu du réalisé 2018.</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En 2019, il n’est pas prévu de cessions de biens alors qu’elles avaient généré une recette de 104 500 euros en 2018.</w:t>
      </w:r>
    </w:p>
    <w:p w:rsidR="00EF47DC" w:rsidRPr="00EF47DC" w:rsidRDefault="00EF47DC" w:rsidP="00EF47DC">
      <w:pPr>
        <w:spacing w:after="0" w:line="240" w:lineRule="auto"/>
        <w:jc w:val="both"/>
        <w:rPr>
          <w:rFonts w:ascii="Times New Roman" w:eastAsia="Times New Roman" w:hAnsi="Times New Roman" w:cs="Times New Roman"/>
          <w:sz w:val="22"/>
          <w:szCs w:val="22"/>
          <w:lang w:eastAsia="zh-CN"/>
        </w:rPr>
      </w:pPr>
    </w:p>
    <w:p w:rsidR="00EF47DC" w:rsidRDefault="00EF47DC" w:rsidP="00EF47DC">
      <w:pPr>
        <w:spacing w:after="0" w:line="240" w:lineRule="auto"/>
        <w:ind w:firstLine="708"/>
        <w:jc w:val="both"/>
        <w:rPr>
          <w:rFonts w:ascii="Arial" w:eastAsia="Arial" w:hAnsi="Arial" w:cs="Arial"/>
          <w:b/>
          <w:bCs/>
          <w:color w:val="000000"/>
          <w:sz w:val="22"/>
          <w:szCs w:val="22"/>
          <w:lang w:eastAsia="zh-CN"/>
        </w:rPr>
      </w:pPr>
      <w:r w:rsidRPr="00EF47DC">
        <w:rPr>
          <w:rFonts w:ascii="Arial" w:eastAsia="Arial" w:hAnsi="Arial" w:cs="Arial"/>
          <w:b/>
          <w:bCs/>
          <w:color w:val="000000"/>
          <w:sz w:val="22"/>
          <w:szCs w:val="22"/>
          <w:lang w:eastAsia="zh-CN"/>
        </w:rPr>
        <w:t>Les recettes de fonctionnement et leur évolution :</w:t>
      </w:r>
    </w:p>
    <w:p w:rsidR="00D46855" w:rsidRPr="00EF47DC" w:rsidRDefault="00D46855" w:rsidP="00EF47DC">
      <w:pPr>
        <w:spacing w:after="0" w:line="240" w:lineRule="auto"/>
        <w:ind w:firstLine="708"/>
        <w:jc w:val="both"/>
        <w:rPr>
          <w:rFonts w:ascii="Times New Roman" w:eastAsia="Times New Roman" w:hAnsi="Times New Roman" w:cs="Times New Roman"/>
          <w:sz w:val="22"/>
          <w:szCs w:val="22"/>
          <w:lang w:eastAsia="zh-CN"/>
        </w:rPr>
      </w:pPr>
    </w:p>
    <w:p w:rsidR="00EF47DC" w:rsidRPr="00EF47DC" w:rsidRDefault="00EF47DC" w:rsidP="00EF47DC">
      <w:pPr>
        <w:spacing w:after="0" w:line="240" w:lineRule="auto"/>
        <w:jc w:val="both"/>
        <w:rPr>
          <w:rFonts w:ascii="Arial" w:eastAsia="Arial" w:hAnsi="Arial" w:cs="Arial"/>
          <w:color w:val="000000"/>
          <w:sz w:val="22"/>
          <w:szCs w:val="22"/>
          <w:lang w:eastAsia="zh-CN"/>
        </w:rPr>
      </w:pPr>
    </w:p>
    <w:tbl>
      <w:tblPr>
        <w:tblW w:w="9809" w:type="dxa"/>
        <w:tblLayout w:type="fixed"/>
        <w:tblLook w:val="01E0" w:firstRow="1" w:lastRow="1" w:firstColumn="1" w:lastColumn="1" w:noHBand="0" w:noVBand="0"/>
      </w:tblPr>
      <w:tblGrid>
        <w:gridCol w:w="2452"/>
        <w:gridCol w:w="2452"/>
        <w:gridCol w:w="2452"/>
        <w:gridCol w:w="2453"/>
      </w:tblGrid>
      <w:tr w:rsidR="00EF47DC" w:rsidRPr="00EF47DC" w:rsidTr="00F5712A">
        <w:trPr>
          <w:trHeight w:val="468"/>
          <w:tblHeader/>
        </w:trPr>
        <w:tc>
          <w:tcPr>
            <w:tcW w:w="2452"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Années</w:t>
            </w:r>
          </w:p>
        </w:tc>
        <w:tc>
          <w:tcPr>
            <w:tcW w:w="2452"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Recettes de fonctionnement</w:t>
            </w:r>
          </w:p>
        </w:tc>
        <w:tc>
          <w:tcPr>
            <w:tcW w:w="2452"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i/>
                <w:iCs/>
                <w:color w:val="FFFFFF"/>
                <w:sz w:val="22"/>
                <w:szCs w:val="22"/>
                <w:lang w:val="en-US" w:eastAsia="zh-CN"/>
              </w:rPr>
            </w:pPr>
            <w:r w:rsidRPr="00EF47DC">
              <w:rPr>
                <w:rFonts w:ascii="Arial" w:eastAsia="Arial" w:hAnsi="Arial" w:cs="Arial"/>
                <w:b/>
                <w:bCs/>
                <w:i/>
                <w:iCs/>
                <w:color w:val="FFFFFF"/>
                <w:sz w:val="22"/>
                <w:szCs w:val="22"/>
                <w:lang w:val="en-US" w:eastAsia="zh-CN"/>
              </w:rPr>
              <w:t>Evolution n-1</w:t>
            </w:r>
          </w:p>
        </w:tc>
        <w:tc>
          <w:tcPr>
            <w:tcW w:w="245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En euros par habitant</w:t>
            </w:r>
          </w:p>
        </w:tc>
      </w:tr>
      <w:tr w:rsidR="00EF47DC" w:rsidRPr="00EF47DC" w:rsidTr="00F5712A">
        <w:trPr>
          <w:trHeight w:val="234"/>
        </w:trPr>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2016</w:t>
            </w:r>
          </w:p>
        </w:tc>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6 073 899</w:t>
            </w:r>
          </w:p>
        </w:tc>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5,19 %</w:t>
            </w:r>
          </w:p>
        </w:tc>
        <w:tc>
          <w:tcPr>
            <w:tcW w:w="245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881</w:t>
            </w:r>
          </w:p>
        </w:tc>
      </w:tr>
      <w:tr w:rsidR="00EF47DC" w:rsidRPr="00EF47DC" w:rsidTr="00F5712A">
        <w:trPr>
          <w:trHeight w:val="220"/>
        </w:trPr>
        <w:tc>
          <w:tcPr>
            <w:tcW w:w="2452"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2017</w:t>
            </w:r>
          </w:p>
        </w:tc>
        <w:tc>
          <w:tcPr>
            <w:tcW w:w="2452"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6 006 790</w:t>
            </w:r>
          </w:p>
        </w:tc>
        <w:tc>
          <w:tcPr>
            <w:tcW w:w="2452"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-1,1 %</w:t>
            </w:r>
          </w:p>
        </w:tc>
        <w:tc>
          <w:tcPr>
            <w:tcW w:w="245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881</w:t>
            </w:r>
          </w:p>
        </w:tc>
      </w:tr>
      <w:tr w:rsidR="00EF47DC" w:rsidRPr="00EF47DC" w:rsidTr="00F5712A">
        <w:trPr>
          <w:trHeight w:val="234"/>
        </w:trPr>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2018</w:t>
            </w:r>
          </w:p>
        </w:tc>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5 984 207</w:t>
            </w:r>
          </w:p>
        </w:tc>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-0,38 %</w:t>
            </w:r>
          </w:p>
        </w:tc>
        <w:tc>
          <w:tcPr>
            <w:tcW w:w="245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885</w:t>
            </w:r>
          </w:p>
        </w:tc>
      </w:tr>
      <w:tr w:rsidR="00EF47DC" w:rsidRPr="00EF47DC" w:rsidTr="00F5712A">
        <w:trPr>
          <w:trHeight w:val="234"/>
        </w:trPr>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2019</w:t>
            </w:r>
          </w:p>
        </w:tc>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5 710 282</w:t>
            </w:r>
          </w:p>
        </w:tc>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-4,58 %</w:t>
            </w:r>
          </w:p>
        </w:tc>
        <w:tc>
          <w:tcPr>
            <w:tcW w:w="245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845</w:t>
            </w:r>
          </w:p>
        </w:tc>
      </w:tr>
      <w:tr w:rsidR="00EF47DC" w:rsidRPr="00EF47DC" w:rsidTr="00F5712A">
        <w:trPr>
          <w:trHeight w:val="234"/>
        </w:trPr>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2020</w:t>
            </w:r>
          </w:p>
        </w:tc>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5 701 882</w:t>
            </w:r>
          </w:p>
        </w:tc>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-0,15 %</w:t>
            </w:r>
          </w:p>
        </w:tc>
        <w:tc>
          <w:tcPr>
            <w:tcW w:w="245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843</w:t>
            </w:r>
          </w:p>
        </w:tc>
      </w:tr>
      <w:tr w:rsidR="00EF47DC" w:rsidRPr="00EF47DC" w:rsidTr="00F5712A">
        <w:trPr>
          <w:trHeight w:val="234"/>
        </w:trPr>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2021</w:t>
            </w:r>
          </w:p>
        </w:tc>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5 701 882</w:t>
            </w:r>
          </w:p>
        </w:tc>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0 %</w:t>
            </w:r>
          </w:p>
        </w:tc>
        <w:tc>
          <w:tcPr>
            <w:tcW w:w="245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843</w:t>
            </w:r>
          </w:p>
        </w:tc>
      </w:tr>
      <w:tr w:rsidR="00EF47DC" w:rsidRPr="00EF47DC" w:rsidTr="00F5712A">
        <w:trPr>
          <w:trHeight w:val="234"/>
        </w:trPr>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2022</w:t>
            </w:r>
          </w:p>
        </w:tc>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5 701 882</w:t>
            </w:r>
          </w:p>
        </w:tc>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0 %</w:t>
            </w:r>
          </w:p>
        </w:tc>
        <w:tc>
          <w:tcPr>
            <w:tcW w:w="245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843</w:t>
            </w:r>
          </w:p>
        </w:tc>
      </w:tr>
    </w:tbl>
    <w:p w:rsidR="00EF47DC" w:rsidRPr="00EF47DC" w:rsidRDefault="00EF47DC" w:rsidP="00EF47DC">
      <w:pPr>
        <w:spacing w:after="0" w:line="240" w:lineRule="auto"/>
        <w:jc w:val="both"/>
        <w:rPr>
          <w:rFonts w:ascii="Arial" w:eastAsia="Arial" w:hAnsi="Arial" w:cs="Arial"/>
          <w:color w:val="000000"/>
          <w:sz w:val="22"/>
          <w:szCs w:val="22"/>
          <w:lang w:eastAsia="zh-CN"/>
        </w:rPr>
      </w:pPr>
      <w:r w:rsidRPr="00EF47DC">
        <w:rPr>
          <w:rFonts w:ascii="Arial" w:eastAsia="Arial" w:hAnsi="Arial" w:cs="Arial"/>
          <w:color w:val="000000"/>
          <w:sz w:val="22"/>
          <w:szCs w:val="22"/>
          <w:lang w:eastAsia="zh-CN"/>
        </w:rPr>
        <w:lastRenderedPageBreak/>
        <w:t>Les recettes de fonctionnement moyennes des communes de même strate s’élèvent à 1 167 euros par habitant en 2017. Elles sont donc supérieures de 32,5% à celles du Péage.</w:t>
      </w:r>
    </w:p>
    <w:p w:rsidR="00EF47DC" w:rsidRPr="00EF47DC" w:rsidRDefault="00EF47DC" w:rsidP="00EF47DC">
      <w:pPr>
        <w:spacing w:after="0" w:line="240" w:lineRule="auto"/>
        <w:jc w:val="both"/>
        <w:rPr>
          <w:rFonts w:ascii="Arial" w:eastAsia="Arial" w:hAnsi="Arial" w:cs="Arial"/>
          <w:b/>
          <w:color w:val="000000"/>
          <w:sz w:val="22"/>
          <w:szCs w:val="22"/>
          <w:lang w:eastAsia="zh-CN"/>
        </w:rPr>
      </w:pPr>
    </w:p>
    <w:p w:rsidR="00EF47DC" w:rsidRPr="00EF47DC" w:rsidRDefault="00EF47DC" w:rsidP="00EF47DC">
      <w:pPr>
        <w:spacing w:after="0" w:line="240" w:lineRule="auto"/>
        <w:ind w:firstLine="708"/>
        <w:jc w:val="both"/>
        <w:rPr>
          <w:rFonts w:ascii="Arial" w:eastAsia="Arial" w:hAnsi="Arial" w:cs="Arial"/>
          <w:b/>
          <w:color w:val="000000"/>
          <w:sz w:val="22"/>
          <w:szCs w:val="22"/>
          <w:lang w:eastAsia="zh-CN"/>
        </w:rPr>
      </w:pPr>
      <w:r w:rsidRPr="00EF47DC">
        <w:rPr>
          <w:rFonts w:ascii="Arial" w:eastAsia="Arial" w:hAnsi="Arial" w:cs="Arial"/>
          <w:b/>
          <w:color w:val="000000"/>
          <w:sz w:val="22"/>
          <w:szCs w:val="22"/>
          <w:lang w:eastAsia="zh-CN"/>
        </w:rPr>
        <w:t>L'évolution moyenne et totale durant l'ensemble de la période :</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tbl>
      <w:tblPr>
        <w:tblW w:w="9825" w:type="dxa"/>
        <w:tblLayout w:type="fixed"/>
        <w:tblLook w:val="01E0" w:firstRow="1" w:lastRow="1" w:firstColumn="1" w:lastColumn="1" w:noHBand="0" w:noVBand="0"/>
      </w:tblPr>
      <w:tblGrid>
        <w:gridCol w:w="3275"/>
        <w:gridCol w:w="3275"/>
        <w:gridCol w:w="3275"/>
      </w:tblGrid>
      <w:tr w:rsidR="00EF47DC" w:rsidRPr="00EF47DC" w:rsidTr="00F5712A">
        <w:trPr>
          <w:trHeight w:val="265"/>
        </w:trPr>
        <w:tc>
          <w:tcPr>
            <w:tcW w:w="3275"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1" w:lineRule="auto"/>
              <w:jc w:val="center"/>
              <w:rPr>
                <w:rFonts w:ascii="Times New Roman" w:eastAsia="Times New Roman" w:hAnsi="Times New Roman" w:cs="Times New Roman"/>
                <w:sz w:val="22"/>
                <w:szCs w:val="22"/>
                <w:lang w:val="en-US" w:eastAsia="zh-CN"/>
              </w:rPr>
            </w:pPr>
          </w:p>
        </w:tc>
        <w:tc>
          <w:tcPr>
            <w:tcW w:w="3275"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Evolution moyenne (en %)</w:t>
            </w:r>
          </w:p>
        </w:tc>
        <w:tc>
          <w:tcPr>
            <w:tcW w:w="3275"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Evolution totale (en %)</w:t>
            </w:r>
          </w:p>
        </w:tc>
      </w:tr>
      <w:tr w:rsidR="00EF47DC" w:rsidRPr="00EF47DC" w:rsidTr="00F5712A">
        <w:trPr>
          <w:trHeight w:val="265"/>
        </w:trPr>
        <w:tc>
          <w:tcPr>
            <w:tcW w:w="3275"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Recettes de fonctionnement</w:t>
            </w:r>
          </w:p>
        </w:tc>
        <w:tc>
          <w:tcPr>
            <w:tcW w:w="3275"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right"/>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-1,05 %</w:t>
            </w:r>
          </w:p>
        </w:tc>
        <w:tc>
          <w:tcPr>
            <w:tcW w:w="3275"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right"/>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-6,12 %</w:t>
            </w:r>
          </w:p>
        </w:tc>
      </w:tr>
    </w:tbl>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Le graphique suivant illustre l’évolution des recettes de fonctionnement, à l’appui, pour les années à venir, des hypothèses décrites plus haut.</w:t>
      </w:r>
    </w:p>
    <w:p w:rsidR="00EF47DC" w:rsidRPr="00EF47DC" w:rsidRDefault="00EF47DC" w:rsidP="00EF47DC">
      <w:pPr>
        <w:spacing w:after="0" w:line="240" w:lineRule="auto"/>
        <w:rPr>
          <w:rFonts w:ascii="Times New Roman" w:eastAsia="Times New Roman" w:hAnsi="Times New Roman" w:cs="Times New Roman"/>
          <w:noProof/>
          <w:sz w:val="20"/>
          <w:szCs w:val="20"/>
          <w:lang w:eastAsia="fr-FR"/>
        </w:rPr>
      </w:pPr>
      <w:bookmarkStart w:id="7" w:name="__bookmark_57"/>
      <w:bookmarkEnd w:id="7"/>
      <w:r w:rsidRPr="00EF47DC">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2608" behindDoc="0" locked="0" layoutInCell="1" allowOverlap="1" wp14:anchorId="40E85242" wp14:editId="2BA87576">
                <wp:simplePos x="0" y="0"/>
                <wp:positionH relativeFrom="column">
                  <wp:posOffset>0</wp:posOffset>
                </wp:positionH>
                <wp:positionV relativeFrom="paragraph">
                  <wp:posOffset>0</wp:posOffset>
                </wp:positionV>
                <wp:extent cx="635000" cy="635000"/>
                <wp:effectExtent l="0" t="0" r="3175" b="3175"/>
                <wp:wrapNone/>
                <wp:docPr id="3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FD25A" id="AutoShape 1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TO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zj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DgRM6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EF47DC" w:rsidRPr="00EF47DC" w:rsidRDefault="00EF47DC" w:rsidP="00EF47DC">
      <w:pPr>
        <w:spacing w:after="0" w:line="240" w:lineRule="auto"/>
        <w:rPr>
          <w:rFonts w:ascii="Times New Roman" w:eastAsia="Times New Roman" w:hAnsi="Times New Roman" w:cs="Times New Roman"/>
          <w:sz w:val="20"/>
          <w:szCs w:val="20"/>
          <w:lang w:val="en-US" w:eastAsia="zh-CN"/>
        </w:rPr>
      </w:pPr>
      <w:r w:rsidRPr="00EF47DC">
        <w:rPr>
          <w:rFonts w:ascii="Times New Roman" w:eastAsia="Times New Roman" w:hAnsi="Times New Roman" w:cs="Times New Roman"/>
          <w:noProof/>
          <w:sz w:val="20"/>
          <w:szCs w:val="20"/>
          <w:lang w:eastAsia="fr-FR"/>
        </w:rPr>
        <w:drawing>
          <wp:inline distT="0" distB="0" distL="0" distR="0" wp14:anchorId="78AEEE48" wp14:editId="69F825C2">
            <wp:extent cx="6248400" cy="3472338"/>
            <wp:effectExtent l="0" t="0" r="0" b="0"/>
            <wp:docPr id="15" name="Image 15" descr="ooxWord://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oxWord://media/image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6693" cy="3482503"/>
                    </a:xfrm>
                    <a:prstGeom prst="rect">
                      <a:avLst/>
                    </a:prstGeom>
                    <a:noFill/>
                    <a:ln>
                      <a:noFill/>
                    </a:ln>
                  </pic:spPr>
                </pic:pic>
              </a:graphicData>
            </a:graphic>
          </wp:inline>
        </w:drawing>
      </w:r>
    </w:p>
    <w:p w:rsidR="00EF47DC" w:rsidRDefault="00EF47DC" w:rsidP="00EF47DC">
      <w:pPr>
        <w:spacing w:after="0" w:line="240" w:lineRule="auto"/>
        <w:rPr>
          <w:rFonts w:ascii="Arial" w:eastAsia="Times New Roman" w:hAnsi="Arial" w:cs="Arial"/>
          <w:color w:val="000000"/>
          <w:sz w:val="22"/>
          <w:szCs w:val="22"/>
          <w:lang w:val="en-US" w:eastAsia="zh-CN"/>
        </w:rPr>
      </w:pPr>
    </w:p>
    <w:p w:rsidR="001960F6" w:rsidRPr="00EF47DC" w:rsidRDefault="001960F6" w:rsidP="00EF47DC">
      <w:pPr>
        <w:spacing w:after="0" w:line="240" w:lineRule="auto"/>
        <w:rPr>
          <w:rFonts w:ascii="Arial" w:eastAsia="Times New Roman" w:hAnsi="Arial" w:cs="Arial"/>
          <w:color w:val="000000"/>
          <w:sz w:val="22"/>
          <w:szCs w:val="22"/>
          <w:lang w:val="en-US" w:eastAsia="zh-CN"/>
        </w:rPr>
      </w:pPr>
    </w:p>
    <w:p w:rsidR="001960F6" w:rsidRDefault="001960F6" w:rsidP="00EF47DC">
      <w:pPr>
        <w:spacing w:after="0" w:line="240" w:lineRule="auto"/>
        <w:jc w:val="both"/>
        <w:rPr>
          <w:rFonts w:ascii="Arial" w:eastAsia="Times New Roman" w:hAnsi="Arial" w:cs="Arial"/>
          <w:color w:val="000000"/>
          <w:sz w:val="22"/>
          <w:szCs w:val="22"/>
          <w:lang w:eastAsia="zh-CN"/>
        </w:rPr>
      </w:pPr>
    </w:p>
    <w:p w:rsidR="001960F6" w:rsidRDefault="001960F6"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color w:val="000000"/>
          <w:sz w:val="22"/>
          <w:szCs w:val="22"/>
          <w:lang w:eastAsia="zh-CN"/>
        </w:rPr>
        <w:t>Le graphique ci-dessous illustre cette fois l’évolution de la répartition des recettes de fonctionnement de la commune. Il montre que la part des dotations (figurant en couleur verte) s’amenuise au fil des exercices.</w:t>
      </w:r>
    </w:p>
    <w:p w:rsidR="00EF47DC" w:rsidRPr="00EF47DC" w:rsidRDefault="00EF47DC" w:rsidP="00EF47DC">
      <w:pPr>
        <w:spacing w:after="0" w:line="240" w:lineRule="auto"/>
        <w:rPr>
          <w:rFonts w:ascii="Times New Roman" w:eastAsia="Times New Roman" w:hAnsi="Times New Roman" w:cs="Times New Roman"/>
          <w:color w:val="000000"/>
          <w:sz w:val="20"/>
          <w:szCs w:val="20"/>
          <w:lang w:val="en-US" w:eastAsia="zh-CN"/>
        </w:rPr>
      </w:pPr>
    </w:p>
    <w:p w:rsidR="00EF47DC" w:rsidRPr="00EF47DC" w:rsidRDefault="00EF47DC" w:rsidP="00EF47DC">
      <w:pPr>
        <w:spacing w:after="0" w:line="240" w:lineRule="auto"/>
        <w:rPr>
          <w:rFonts w:ascii="Times New Roman" w:eastAsia="Times New Roman" w:hAnsi="Times New Roman" w:cs="Times New Roman"/>
          <w:color w:val="000000"/>
          <w:sz w:val="20"/>
          <w:szCs w:val="20"/>
          <w:lang w:val="en-US" w:eastAsia="zh-CN"/>
        </w:rPr>
      </w:pPr>
      <w:r w:rsidRPr="00EF47DC">
        <w:rPr>
          <w:rFonts w:ascii="Times New Roman" w:eastAsia="Times New Roman" w:hAnsi="Times New Roman" w:cs="Times New Roman"/>
          <w:noProof/>
          <w:sz w:val="20"/>
          <w:szCs w:val="20"/>
          <w:lang w:eastAsia="fr-FR"/>
        </w:rPr>
        <w:lastRenderedPageBreak/>
        <w:drawing>
          <wp:inline distT="0" distB="0" distL="0" distR="0" wp14:anchorId="6FCD6900" wp14:editId="364229EC">
            <wp:extent cx="6210300" cy="3882561"/>
            <wp:effectExtent l="0" t="0" r="0" b="3810"/>
            <wp:docPr id="16" name="Image 16" descr="ooxWord://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oxWord://media/image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5127" cy="3891830"/>
                    </a:xfrm>
                    <a:prstGeom prst="rect">
                      <a:avLst/>
                    </a:prstGeom>
                    <a:noFill/>
                    <a:ln>
                      <a:noFill/>
                    </a:ln>
                  </pic:spPr>
                </pic:pic>
              </a:graphicData>
            </a:graphic>
          </wp:inline>
        </w:drawing>
      </w:r>
    </w:p>
    <w:tbl>
      <w:tblPr>
        <w:tblW w:w="10545" w:type="dxa"/>
        <w:tblLayout w:type="fixed"/>
        <w:tblCellMar>
          <w:left w:w="0" w:type="dxa"/>
          <w:right w:w="0" w:type="dxa"/>
        </w:tblCellMar>
        <w:tblLook w:val="01E0" w:firstRow="1" w:lastRow="1" w:firstColumn="1" w:lastColumn="1" w:noHBand="0" w:noVBand="0"/>
      </w:tblPr>
      <w:tblGrid>
        <w:gridCol w:w="10545"/>
      </w:tblGrid>
      <w:tr w:rsidR="00EF47DC" w:rsidRPr="00EF47DC" w:rsidTr="00F5712A">
        <w:tc>
          <w:tcPr>
            <w:tcW w:w="10545" w:type="dxa"/>
            <w:tcMar>
              <w:top w:w="0" w:type="dxa"/>
              <w:left w:w="0" w:type="dxa"/>
              <w:bottom w:w="0" w:type="dxa"/>
              <w:right w:w="0" w:type="dxa"/>
            </w:tcMar>
            <w:vAlign w:val="center"/>
          </w:tcPr>
          <w:p w:rsidR="00EF47DC" w:rsidRPr="00EF47DC" w:rsidRDefault="00EF47DC" w:rsidP="00EF47DC">
            <w:pPr>
              <w:spacing w:after="0" w:line="240" w:lineRule="auto"/>
              <w:rPr>
                <w:rFonts w:ascii="Arial" w:eastAsia="Times New Roman" w:hAnsi="Arial" w:cs="Arial"/>
                <w:b/>
                <w:bCs/>
                <w:sz w:val="22"/>
                <w:szCs w:val="22"/>
                <w:u w:val="single"/>
                <w:lang w:val="en-US" w:eastAsia="zh-CN"/>
              </w:rPr>
            </w:pPr>
            <w:bookmarkStart w:id="8" w:name="__bookmark_69"/>
            <w:bookmarkEnd w:id="8"/>
          </w:p>
          <w:p w:rsidR="00EF47DC" w:rsidRPr="00EF47DC" w:rsidRDefault="00EF47DC" w:rsidP="00B05666">
            <w:pPr>
              <w:spacing w:after="0" w:line="240" w:lineRule="auto"/>
              <w:rPr>
                <w:rFonts w:ascii="Times New Roman" w:eastAsia="Times New Roman" w:hAnsi="Times New Roman" w:cs="Times New Roman"/>
                <w:sz w:val="22"/>
                <w:szCs w:val="22"/>
                <w:lang w:val="en-US" w:eastAsia="zh-CN"/>
              </w:rPr>
            </w:pPr>
          </w:p>
        </w:tc>
      </w:tr>
    </w:tbl>
    <w:p w:rsidR="00EF47DC" w:rsidRPr="00B05666" w:rsidRDefault="00B05666" w:rsidP="00EF47DC">
      <w:pPr>
        <w:spacing w:after="0" w:line="240" w:lineRule="auto"/>
        <w:jc w:val="both"/>
        <w:rPr>
          <w:rFonts w:ascii="Arial" w:eastAsia="Times New Roman" w:hAnsi="Arial" w:cs="Arial"/>
          <w:i/>
          <w:sz w:val="22"/>
          <w:szCs w:val="22"/>
          <w:lang w:val="en-US" w:eastAsia="zh-CN"/>
        </w:rPr>
      </w:pPr>
      <w:r w:rsidRPr="00B05666">
        <w:rPr>
          <w:rFonts w:ascii="Arial" w:eastAsia="Times New Roman" w:hAnsi="Arial" w:cs="Arial"/>
          <w:i/>
          <w:sz w:val="22"/>
          <w:szCs w:val="22"/>
          <w:lang w:val="en-US" w:eastAsia="zh-CN"/>
        </w:rPr>
        <w:t>Daniel ROBERT-CHARRERAU présente les dépenses de la section de fonctionnement.</w:t>
      </w:r>
    </w:p>
    <w:p w:rsidR="00B05666" w:rsidRPr="00EF47DC" w:rsidRDefault="00B05666" w:rsidP="00EF47DC">
      <w:pPr>
        <w:spacing w:after="0" w:line="240" w:lineRule="auto"/>
        <w:jc w:val="both"/>
        <w:rPr>
          <w:rFonts w:ascii="Times New Roman" w:eastAsia="Times New Roman" w:hAnsi="Times New Roman" w:cs="Times New Roman"/>
          <w:sz w:val="22"/>
          <w:szCs w:val="22"/>
          <w:lang w:val="en-US" w:eastAsia="zh-CN"/>
        </w:rPr>
      </w:pPr>
    </w:p>
    <w:p w:rsidR="00EF47DC" w:rsidRPr="00EF47DC" w:rsidRDefault="00EF47DC" w:rsidP="0081123C">
      <w:pPr>
        <w:spacing w:after="0" w:line="240" w:lineRule="auto"/>
        <w:jc w:val="both"/>
        <w:rPr>
          <w:rFonts w:ascii="Arial" w:eastAsia="Arial" w:hAnsi="Arial" w:cs="Arial"/>
          <w:b/>
          <w:bCs/>
          <w:color w:val="000000"/>
          <w:sz w:val="22"/>
          <w:szCs w:val="22"/>
          <w:lang w:eastAsia="zh-CN"/>
        </w:rPr>
      </w:pPr>
      <w:r w:rsidRPr="00EF47DC">
        <w:rPr>
          <w:rFonts w:ascii="Arial" w:eastAsia="Arial" w:hAnsi="Arial" w:cs="Arial"/>
          <w:b/>
          <w:bCs/>
          <w:color w:val="000000"/>
          <w:sz w:val="22"/>
          <w:szCs w:val="22"/>
          <w:lang w:eastAsia="zh-CN"/>
        </w:rPr>
        <w:t>Les hypothèses pour les principales dépenses de fonctionnement :</w:t>
      </w:r>
    </w:p>
    <w:p w:rsidR="00EF47DC" w:rsidRPr="00EF47DC" w:rsidRDefault="00EF47DC" w:rsidP="00EF47DC">
      <w:pPr>
        <w:spacing w:after="0" w:line="240" w:lineRule="auto"/>
        <w:jc w:val="both"/>
        <w:rPr>
          <w:rFonts w:ascii="Arial" w:eastAsia="Arial" w:hAnsi="Arial" w:cs="Arial"/>
          <w:b/>
          <w:bCs/>
          <w:color w:val="000000"/>
          <w:sz w:val="22"/>
          <w:szCs w:val="22"/>
          <w:lang w:eastAsia="zh-CN"/>
        </w:rPr>
      </w:pP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b/>
          <w:sz w:val="22"/>
          <w:szCs w:val="22"/>
          <w:lang w:eastAsia="zh-CN"/>
        </w:rPr>
        <w:t>Dépenses à caractère général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 xml:space="preserve">L’objectif d’une stabilisation des dépenses à caractère général, tenu en 2018 et même dépassé par une économie de </w:t>
      </w:r>
      <w:r w:rsidRPr="00EF47DC">
        <w:rPr>
          <w:rFonts w:ascii="Arial" w:eastAsia="Times New Roman" w:hAnsi="Arial" w:cs="Arial"/>
          <w:sz w:val="22"/>
          <w:szCs w:val="22"/>
          <w:lang w:eastAsia="fr-FR"/>
        </w:rPr>
        <w:t>45 873,87 euros</w:t>
      </w:r>
      <w:r w:rsidRPr="00EF47DC">
        <w:rPr>
          <w:rFonts w:ascii="Arial" w:eastAsia="Times New Roman" w:hAnsi="Arial" w:cs="Arial"/>
          <w:sz w:val="22"/>
          <w:szCs w:val="22"/>
          <w:lang w:eastAsia="zh-CN"/>
        </w:rPr>
        <w:t>, est maintenu à partir de 2019. Toutefois, la reprise de l’inflation est envisagée, avec une actualisation de ces dépenses de + 1% par an. L’estimation sera affinée dans la perspective du budget 2019, notamment pour tenir compte du chiffrage précis des travaux qui seront réalisés en régie.</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Rémunérations et frais assimilés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Une première estimation est calculée à partir du réalisé 2018 et tient compte des mouvements prévus pour 2019. L’estimation de ces dépenses sera affinée dans la perspective du budget 2019.</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 xml:space="preserve">Autres charges de gestion courante </w:t>
      </w:r>
      <w:r w:rsidRPr="00EF47DC">
        <w:rPr>
          <w:rFonts w:ascii="Arial" w:eastAsia="Times New Roman" w:hAnsi="Arial" w:cs="Arial"/>
          <w:b/>
          <w:sz w:val="22"/>
          <w:szCs w:val="22"/>
          <w:lang w:eastAsia="fr-FR"/>
        </w:rPr>
        <w:t>(subventions et participations)</w:t>
      </w:r>
      <w:r w:rsidRPr="00EF47DC">
        <w:rPr>
          <w:rFonts w:ascii="Arial" w:eastAsia="Times New Roman" w:hAnsi="Arial" w:cs="Arial"/>
          <w:b/>
          <w:sz w:val="22"/>
          <w:szCs w:val="22"/>
          <w:lang w:eastAsia="zh-CN"/>
        </w:rPr>
        <w:t>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A compter de 2019, ces dépenses restent stables, à l’exception du financement des contributions obligatoires. L’augmentation du nombre d’élèves péageois au centre scolaire Jeanne-d’Arc a en effet été prise en compte.</w:t>
      </w:r>
    </w:p>
    <w:p w:rsid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Intérêts de la dette :</w:t>
      </w:r>
    </w:p>
    <w:p w:rsidR="00EF47DC" w:rsidRP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Le paiement des intérêts de la dette est calculé selon l’état de cette dernière au 1</w:t>
      </w:r>
      <w:r w:rsidRPr="00EF47DC">
        <w:rPr>
          <w:rFonts w:ascii="Arial" w:eastAsia="Times New Roman" w:hAnsi="Arial" w:cs="Arial"/>
          <w:sz w:val="22"/>
          <w:szCs w:val="22"/>
          <w:vertAlign w:val="superscript"/>
          <w:lang w:eastAsia="zh-CN"/>
        </w:rPr>
        <w:t>er</w:t>
      </w:r>
      <w:r w:rsidRPr="00EF47DC">
        <w:rPr>
          <w:rFonts w:ascii="Arial" w:eastAsia="Times New Roman" w:hAnsi="Arial" w:cs="Arial"/>
          <w:sz w:val="22"/>
          <w:szCs w:val="22"/>
          <w:lang w:eastAsia="zh-CN"/>
        </w:rPr>
        <w:t xml:space="preserve"> janvier 2019 puis selon les emprunts prévisionnels estimés pour les prochains exercices.</w:t>
      </w:r>
    </w:p>
    <w:p w:rsidR="00EF47DC" w:rsidRPr="00EF47DC" w:rsidRDefault="00EF47DC"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jc w:val="both"/>
        <w:rPr>
          <w:rFonts w:ascii="Arial" w:eastAsia="Times New Roman" w:hAnsi="Arial" w:cs="Arial"/>
          <w:b/>
          <w:sz w:val="22"/>
          <w:szCs w:val="22"/>
          <w:lang w:eastAsia="zh-CN"/>
        </w:rPr>
      </w:pPr>
      <w:r w:rsidRPr="00EF47DC">
        <w:rPr>
          <w:rFonts w:ascii="Arial" w:eastAsia="Times New Roman" w:hAnsi="Arial" w:cs="Arial"/>
          <w:b/>
          <w:sz w:val="22"/>
          <w:szCs w:val="22"/>
          <w:lang w:eastAsia="zh-CN"/>
        </w:rPr>
        <w:t>Autres dépenses de fonctionnement :</w:t>
      </w:r>
    </w:p>
    <w:p w:rsidR="00EF47DC" w:rsidRDefault="00EF47DC" w:rsidP="00EF47DC">
      <w:pPr>
        <w:spacing w:after="0" w:line="240" w:lineRule="auto"/>
        <w:jc w:val="both"/>
        <w:rPr>
          <w:rFonts w:ascii="Arial" w:eastAsia="Times New Roman" w:hAnsi="Arial" w:cs="Arial"/>
          <w:sz w:val="22"/>
          <w:szCs w:val="22"/>
          <w:lang w:eastAsia="zh-CN"/>
        </w:rPr>
      </w:pPr>
      <w:r w:rsidRPr="00EF47DC">
        <w:rPr>
          <w:rFonts w:ascii="Arial" w:eastAsia="Times New Roman" w:hAnsi="Arial" w:cs="Arial"/>
          <w:sz w:val="22"/>
          <w:szCs w:val="22"/>
          <w:lang w:eastAsia="zh-CN"/>
        </w:rPr>
        <w:t>Le FPIC est estimé à 26 500 euros à partir de 2019, ce qui est supérieur à la somme de 3 267 euros finalement payée en 2018 mais qui correspond aux dernières orientations annoncées par la communauté de communes l’an passé.</w:t>
      </w:r>
    </w:p>
    <w:p w:rsidR="0015399E" w:rsidRDefault="0015399E" w:rsidP="00EF47DC">
      <w:pPr>
        <w:spacing w:after="0" w:line="240" w:lineRule="auto"/>
        <w:jc w:val="both"/>
        <w:rPr>
          <w:rFonts w:ascii="Arial" w:eastAsia="Times New Roman" w:hAnsi="Arial" w:cs="Arial"/>
          <w:sz w:val="22"/>
          <w:szCs w:val="22"/>
          <w:lang w:eastAsia="zh-CN"/>
        </w:rPr>
      </w:pPr>
    </w:p>
    <w:p w:rsidR="00EF47DC" w:rsidRPr="00EF47DC" w:rsidRDefault="00EF47DC" w:rsidP="00EF47DC">
      <w:pPr>
        <w:spacing w:after="0" w:line="240" w:lineRule="auto"/>
        <w:ind w:firstLine="708"/>
        <w:jc w:val="both"/>
        <w:rPr>
          <w:rFonts w:ascii="Arial" w:eastAsia="Arial" w:hAnsi="Arial" w:cs="Arial"/>
          <w:b/>
          <w:bCs/>
          <w:color w:val="000000"/>
          <w:sz w:val="22"/>
          <w:szCs w:val="22"/>
          <w:lang w:eastAsia="zh-CN"/>
        </w:rPr>
      </w:pPr>
      <w:r w:rsidRPr="00EF47DC">
        <w:rPr>
          <w:rFonts w:ascii="Arial" w:eastAsia="Arial" w:hAnsi="Arial" w:cs="Arial"/>
          <w:b/>
          <w:bCs/>
          <w:color w:val="000000"/>
          <w:sz w:val="22"/>
          <w:szCs w:val="22"/>
          <w:lang w:eastAsia="zh-CN"/>
        </w:rPr>
        <w:t>Les dépenses de fonctionnement et leur évolution :</w:t>
      </w:r>
    </w:p>
    <w:p w:rsidR="00EF47DC" w:rsidRPr="00EF47DC" w:rsidRDefault="00EF47DC" w:rsidP="00EF47DC">
      <w:pPr>
        <w:spacing w:after="0" w:line="240" w:lineRule="auto"/>
        <w:jc w:val="both"/>
        <w:rPr>
          <w:rFonts w:ascii="Arial" w:eastAsia="Arial" w:hAnsi="Arial" w:cs="Arial"/>
          <w:color w:val="000000"/>
          <w:sz w:val="22"/>
          <w:szCs w:val="22"/>
          <w:lang w:eastAsia="zh-CN"/>
        </w:rPr>
      </w:pPr>
    </w:p>
    <w:tbl>
      <w:tblPr>
        <w:tblW w:w="9824" w:type="dxa"/>
        <w:tblLayout w:type="fixed"/>
        <w:tblLook w:val="01E0" w:firstRow="1" w:lastRow="1" w:firstColumn="1" w:lastColumn="1" w:noHBand="0" w:noVBand="0"/>
      </w:tblPr>
      <w:tblGrid>
        <w:gridCol w:w="2456"/>
        <w:gridCol w:w="2456"/>
        <w:gridCol w:w="2456"/>
        <w:gridCol w:w="2456"/>
      </w:tblGrid>
      <w:tr w:rsidR="00EF47DC" w:rsidRPr="00EF47DC" w:rsidTr="00F5712A">
        <w:trPr>
          <w:trHeight w:val="468"/>
          <w:tblHeader/>
        </w:trPr>
        <w:tc>
          <w:tcPr>
            <w:tcW w:w="2456"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lastRenderedPageBreak/>
              <w:t>Années</w:t>
            </w:r>
          </w:p>
        </w:tc>
        <w:tc>
          <w:tcPr>
            <w:tcW w:w="2456"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Dépenses de fonctionnement</w:t>
            </w:r>
          </w:p>
        </w:tc>
        <w:tc>
          <w:tcPr>
            <w:tcW w:w="2456"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i/>
                <w:iCs/>
                <w:color w:val="FFFFFF"/>
                <w:sz w:val="22"/>
                <w:szCs w:val="22"/>
                <w:lang w:val="en-US" w:eastAsia="zh-CN"/>
              </w:rPr>
            </w:pPr>
            <w:r w:rsidRPr="00EF47DC">
              <w:rPr>
                <w:rFonts w:ascii="Arial" w:eastAsia="Arial" w:hAnsi="Arial" w:cs="Arial"/>
                <w:b/>
                <w:bCs/>
                <w:i/>
                <w:iCs/>
                <w:color w:val="FFFFFF"/>
                <w:sz w:val="22"/>
                <w:szCs w:val="22"/>
                <w:lang w:val="en-US" w:eastAsia="zh-CN"/>
              </w:rPr>
              <w:t>Evolution n-1</w:t>
            </w:r>
          </w:p>
        </w:tc>
        <w:tc>
          <w:tcPr>
            <w:tcW w:w="2456"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En euros par habitant</w:t>
            </w:r>
          </w:p>
        </w:tc>
      </w:tr>
      <w:tr w:rsidR="00EF47DC" w:rsidRPr="00EF47DC" w:rsidTr="00F5712A">
        <w:trPr>
          <w:trHeight w:val="234"/>
        </w:trPr>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2016</w:t>
            </w:r>
          </w:p>
        </w:tc>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5 113 091</w:t>
            </w:r>
          </w:p>
        </w:tc>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-4,96 %</w:t>
            </w:r>
          </w:p>
        </w:tc>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742</w:t>
            </w:r>
          </w:p>
        </w:tc>
      </w:tr>
      <w:tr w:rsidR="00EF47DC" w:rsidRPr="00EF47DC" w:rsidTr="00F5712A">
        <w:trPr>
          <w:trHeight w:val="220"/>
        </w:trPr>
        <w:tc>
          <w:tcPr>
            <w:tcW w:w="2456"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2017</w:t>
            </w:r>
          </w:p>
        </w:tc>
        <w:tc>
          <w:tcPr>
            <w:tcW w:w="2456"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5 009 391</w:t>
            </w:r>
          </w:p>
        </w:tc>
        <w:tc>
          <w:tcPr>
            <w:tcW w:w="2456"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-2,03 %</w:t>
            </w:r>
          </w:p>
        </w:tc>
        <w:tc>
          <w:tcPr>
            <w:tcW w:w="2456"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735</w:t>
            </w:r>
          </w:p>
        </w:tc>
      </w:tr>
      <w:tr w:rsidR="00EF47DC" w:rsidRPr="00EF47DC" w:rsidTr="00F5712A">
        <w:trPr>
          <w:trHeight w:val="234"/>
        </w:trPr>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2018</w:t>
            </w:r>
          </w:p>
        </w:tc>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4 802 135</w:t>
            </w:r>
          </w:p>
        </w:tc>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-4,14 %</w:t>
            </w:r>
          </w:p>
        </w:tc>
        <w:tc>
          <w:tcPr>
            <w:tcW w:w="245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710</w:t>
            </w:r>
          </w:p>
        </w:tc>
      </w:tr>
      <w:tr w:rsidR="00EF47DC" w:rsidRPr="00EF47DC" w:rsidTr="00F5712A">
        <w:trPr>
          <w:trHeight w:val="234"/>
        </w:trPr>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2019</w:t>
            </w:r>
          </w:p>
        </w:tc>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4 917 588</w:t>
            </w:r>
          </w:p>
        </w:tc>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2,4 %</w:t>
            </w:r>
          </w:p>
        </w:tc>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727</w:t>
            </w:r>
          </w:p>
        </w:tc>
      </w:tr>
      <w:tr w:rsidR="00EF47DC" w:rsidRPr="00EF47DC" w:rsidTr="00F5712A">
        <w:trPr>
          <w:trHeight w:val="234"/>
        </w:trPr>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2020</w:t>
            </w:r>
          </w:p>
        </w:tc>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4 964 248</w:t>
            </w:r>
          </w:p>
        </w:tc>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0,95 %</w:t>
            </w:r>
          </w:p>
        </w:tc>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734</w:t>
            </w:r>
          </w:p>
        </w:tc>
      </w:tr>
      <w:tr w:rsidR="00EF47DC" w:rsidRPr="00EF47DC" w:rsidTr="00F5712A">
        <w:trPr>
          <w:trHeight w:val="234"/>
        </w:trPr>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2021</w:t>
            </w:r>
          </w:p>
        </w:tc>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5 017 710</w:t>
            </w:r>
          </w:p>
        </w:tc>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1,08 %</w:t>
            </w:r>
          </w:p>
        </w:tc>
        <w:tc>
          <w:tcPr>
            <w:tcW w:w="2456"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742</w:t>
            </w:r>
          </w:p>
        </w:tc>
      </w:tr>
      <w:tr w:rsidR="00EF47DC" w:rsidRPr="00EF47DC" w:rsidTr="00F5712A">
        <w:trPr>
          <w:trHeight w:val="234"/>
        </w:trPr>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2022</w:t>
            </w:r>
          </w:p>
        </w:tc>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5 088 115</w:t>
            </w:r>
          </w:p>
        </w:tc>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1,4 %</w:t>
            </w:r>
          </w:p>
        </w:tc>
        <w:tc>
          <w:tcPr>
            <w:tcW w:w="245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753</w:t>
            </w:r>
          </w:p>
        </w:tc>
      </w:tr>
    </w:tbl>
    <w:p w:rsidR="00EF47DC" w:rsidRPr="00EF47DC" w:rsidRDefault="00EF47DC" w:rsidP="00EF47DC">
      <w:pPr>
        <w:spacing w:after="0" w:line="240" w:lineRule="auto"/>
        <w:jc w:val="both"/>
        <w:rPr>
          <w:rFonts w:ascii="Arial" w:eastAsia="Arial" w:hAnsi="Arial" w:cs="Arial"/>
          <w:color w:val="000000"/>
          <w:sz w:val="22"/>
          <w:szCs w:val="22"/>
          <w:lang w:eastAsia="zh-CN"/>
        </w:rPr>
      </w:pPr>
    </w:p>
    <w:p w:rsidR="00872C3A" w:rsidRDefault="00EF47DC" w:rsidP="00EF47DC">
      <w:pPr>
        <w:spacing w:after="0" w:line="240" w:lineRule="auto"/>
        <w:jc w:val="both"/>
        <w:rPr>
          <w:rFonts w:ascii="Arial" w:eastAsia="Arial" w:hAnsi="Arial" w:cs="Arial"/>
          <w:color w:val="000000"/>
          <w:sz w:val="22"/>
          <w:szCs w:val="22"/>
          <w:lang w:eastAsia="zh-CN"/>
        </w:rPr>
      </w:pPr>
      <w:r w:rsidRPr="00EF47DC">
        <w:rPr>
          <w:rFonts w:ascii="Arial" w:eastAsia="Arial" w:hAnsi="Arial" w:cs="Arial"/>
          <w:color w:val="000000"/>
          <w:sz w:val="22"/>
          <w:szCs w:val="22"/>
          <w:lang w:eastAsia="zh-CN"/>
        </w:rPr>
        <w:t>Les dépenses de fonctionnement moyennes des communes de même strate s’élèvent à</w:t>
      </w:r>
    </w:p>
    <w:p w:rsidR="00EF47DC" w:rsidRPr="00EF47DC" w:rsidRDefault="00EF47DC" w:rsidP="00EF47DC">
      <w:pPr>
        <w:spacing w:after="0" w:line="240" w:lineRule="auto"/>
        <w:jc w:val="both"/>
        <w:rPr>
          <w:rFonts w:ascii="Arial" w:eastAsia="Arial" w:hAnsi="Arial" w:cs="Arial"/>
          <w:color w:val="000000"/>
          <w:sz w:val="22"/>
          <w:szCs w:val="22"/>
          <w:lang w:eastAsia="zh-CN"/>
        </w:rPr>
      </w:pPr>
      <w:r w:rsidRPr="00EF47DC">
        <w:rPr>
          <w:rFonts w:ascii="Arial" w:eastAsia="Arial" w:hAnsi="Arial" w:cs="Arial"/>
          <w:color w:val="000000"/>
          <w:sz w:val="22"/>
          <w:szCs w:val="22"/>
          <w:lang w:eastAsia="zh-CN"/>
        </w:rPr>
        <w:t>1 037 euros par habitant en 2017. Elles sont donc supérieures de 41,1% à celles du Péage.</w:t>
      </w:r>
    </w:p>
    <w:p w:rsidR="00EF47DC" w:rsidRPr="00EF47DC" w:rsidRDefault="00EF47DC" w:rsidP="00EF47DC">
      <w:pPr>
        <w:spacing w:after="0" w:line="240" w:lineRule="auto"/>
        <w:jc w:val="both"/>
        <w:rPr>
          <w:rFonts w:ascii="Arial" w:eastAsia="Arial" w:hAnsi="Arial" w:cs="Arial"/>
          <w:color w:val="000000"/>
          <w:sz w:val="22"/>
          <w:szCs w:val="22"/>
          <w:lang w:eastAsia="zh-CN"/>
        </w:rPr>
      </w:pPr>
    </w:p>
    <w:p w:rsidR="00EF47DC" w:rsidRPr="00EF47DC" w:rsidRDefault="00EF47DC" w:rsidP="00EF47DC">
      <w:pPr>
        <w:spacing w:after="0" w:line="240" w:lineRule="auto"/>
        <w:jc w:val="both"/>
        <w:rPr>
          <w:rFonts w:ascii="Arial" w:eastAsia="Arial" w:hAnsi="Arial" w:cs="Arial"/>
          <w:b/>
          <w:color w:val="000000"/>
          <w:sz w:val="22"/>
          <w:szCs w:val="22"/>
          <w:lang w:eastAsia="zh-CN"/>
        </w:rPr>
      </w:pPr>
    </w:p>
    <w:p w:rsidR="00EF47DC" w:rsidRPr="00EF47DC" w:rsidRDefault="00EF47DC" w:rsidP="00EF47DC">
      <w:pPr>
        <w:spacing w:after="0" w:line="240" w:lineRule="auto"/>
        <w:ind w:firstLine="708"/>
        <w:jc w:val="both"/>
        <w:rPr>
          <w:rFonts w:ascii="Arial" w:eastAsia="Arial" w:hAnsi="Arial" w:cs="Arial"/>
          <w:b/>
          <w:color w:val="000000"/>
          <w:sz w:val="22"/>
          <w:szCs w:val="22"/>
          <w:lang w:eastAsia="zh-CN"/>
        </w:rPr>
      </w:pPr>
      <w:r w:rsidRPr="00EF47DC">
        <w:rPr>
          <w:rFonts w:ascii="Arial" w:eastAsia="Arial" w:hAnsi="Arial" w:cs="Arial"/>
          <w:b/>
          <w:color w:val="000000"/>
          <w:sz w:val="22"/>
          <w:szCs w:val="22"/>
          <w:lang w:eastAsia="zh-CN"/>
        </w:rPr>
        <w:t>L'évolution moyenne et totale durant l'ensemble de la période :</w:t>
      </w:r>
    </w:p>
    <w:p w:rsidR="00EF47DC" w:rsidRPr="00EF47DC" w:rsidRDefault="00EF47DC" w:rsidP="00EF47DC">
      <w:pPr>
        <w:spacing w:after="0" w:line="240" w:lineRule="auto"/>
        <w:rPr>
          <w:rFonts w:ascii="Times New Roman" w:eastAsia="Times New Roman" w:hAnsi="Times New Roman" w:cs="Times New Roman"/>
          <w:color w:val="000000"/>
          <w:sz w:val="20"/>
          <w:szCs w:val="20"/>
          <w:lang w:val="en-US" w:eastAsia="zh-CN"/>
        </w:rPr>
      </w:pPr>
    </w:p>
    <w:tbl>
      <w:tblPr>
        <w:tblW w:w="9870" w:type="dxa"/>
        <w:tblLayout w:type="fixed"/>
        <w:tblLook w:val="01E0" w:firstRow="1" w:lastRow="1" w:firstColumn="1" w:lastColumn="1" w:noHBand="0" w:noVBand="0"/>
      </w:tblPr>
      <w:tblGrid>
        <w:gridCol w:w="3290"/>
        <w:gridCol w:w="3290"/>
        <w:gridCol w:w="3290"/>
      </w:tblGrid>
      <w:tr w:rsidR="00EF47DC" w:rsidRPr="00EF47DC" w:rsidTr="00F5712A">
        <w:trPr>
          <w:trHeight w:val="163"/>
        </w:trPr>
        <w:tc>
          <w:tcPr>
            <w:tcW w:w="3290"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1" w:lineRule="auto"/>
              <w:jc w:val="center"/>
              <w:rPr>
                <w:rFonts w:ascii="Times New Roman" w:eastAsia="Times New Roman" w:hAnsi="Times New Roman" w:cs="Times New Roman"/>
                <w:sz w:val="22"/>
                <w:szCs w:val="22"/>
                <w:lang w:val="en-US" w:eastAsia="zh-CN"/>
              </w:rPr>
            </w:pPr>
          </w:p>
        </w:tc>
        <w:tc>
          <w:tcPr>
            <w:tcW w:w="3290"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Evolution moyenne (en %)</w:t>
            </w:r>
          </w:p>
        </w:tc>
        <w:tc>
          <w:tcPr>
            <w:tcW w:w="3290"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b/>
                <w:bCs/>
                <w:color w:val="FFFFFF"/>
                <w:sz w:val="22"/>
                <w:szCs w:val="22"/>
                <w:lang w:val="en-US" w:eastAsia="zh-CN"/>
              </w:rPr>
            </w:pPr>
            <w:r w:rsidRPr="00EF47DC">
              <w:rPr>
                <w:rFonts w:ascii="Arial" w:eastAsia="Arial" w:hAnsi="Arial" w:cs="Arial"/>
                <w:b/>
                <w:bCs/>
                <w:color w:val="FFFFFF"/>
                <w:sz w:val="22"/>
                <w:szCs w:val="22"/>
                <w:lang w:val="en-US" w:eastAsia="zh-CN"/>
              </w:rPr>
              <w:t>Evolution totale (en %)</w:t>
            </w:r>
          </w:p>
        </w:tc>
      </w:tr>
      <w:tr w:rsidR="00EF47DC" w:rsidRPr="00EF47DC" w:rsidTr="00F5712A">
        <w:trPr>
          <w:trHeight w:val="163"/>
        </w:trPr>
        <w:tc>
          <w:tcPr>
            <w:tcW w:w="3290"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Dépenses de fonctionnement</w:t>
            </w:r>
          </w:p>
        </w:tc>
        <w:tc>
          <w:tcPr>
            <w:tcW w:w="3290"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-0,08 %</w:t>
            </w:r>
          </w:p>
        </w:tc>
        <w:tc>
          <w:tcPr>
            <w:tcW w:w="3290"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EF47DC" w:rsidRPr="00EF47DC" w:rsidRDefault="00EF47DC" w:rsidP="00EF47DC">
            <w:pPr>
              <w:spacing w:after="0" w:line="240" w:lineRule="auto"/>
              <w:jc w:val="center"/>
              <w:rPr>
                <w:rFonts w:ascii="Arial" w:eastAsia="Arial" w:hAnsi="Arial" w:cs="Arial"/>
                <w:color w:val="000000"/>
                <w:sz w:val="22"/>
                <w:szCs w:val="22"/>
                <w:lang w:val="en-US" w:eastAsia="zh-CN"/>
              </w:rPr>
            </w:pPr>
            <w:r w:rsidRPr="00EF47DC">
              <w:rPr>
                <w:rFonts w:ascii="Arial" w:eastAsia="Arial" w:hAnsi="Arial" w:cs="Arial"/>
                <w:color w:val="000000"/>
                <w:sz w:val="22"/>
                <w:szCs w:val="22"/>
                <w:lang w:val="en-US" w:eastAsia="zh-CN"/>
              </w:rPr>
              <w:t>-0,49 %</w:t>
            </w:r>
          </w:p>
        </w:tc>
      </w:tr>
    </w:tbl>
    <w:p w:rsidR="00EF47DC" w:rsidRPr="00EF47DC" w:rsidRDefault="00EF47DC" w:rsidP="00EF47DC">
      <w:pPr>
        <w:spacing w:after="0" w:line="240" w:lineRule="auto"/>
        <w:rPr>
          <w:rFonts w:ascii="Times New Roman" w:eastAsia="Times New Roman" w:hAnsi="Times New Roman" w:cs="Times New Roman"/>
          <w:color w:val="000000"/>
          <w:sz w:val="22"/>
          <w:szCs w:val="22"/>
          <w:lang w:val="en-US" w:eastAsia="zh-CN"/>
        </w:rPr>
      </w:pPr>
    </w:p>
    <w:p w:rsidR="00EF47DC" w:rsidRPr="00EF47DC" w:rsidRDefault="00EF47DC" w:rsidP="00EF47DC">
      <w:pPr>
        <w:spacing w:after="0" w:line="240" w:lineRule="auto"/>
        <w:rPr>
          <w:rFonts w:ascii="Times New Roman" w:eastAsia="Times New Roman" w:hAnsi="Times New Roman" w:cs="Times New Roman"/>
          <w:color w:val="000000"/>
          <w:sz w:val="20"/>
          <w:szCs w:val="20"/>
          <w:lang w:val="en-US" w:eastAsia="zh-CN"/>
        </w:rPr>
      </w:pPr>
    </w:p>
    <w:p w:rsidR="00EF47DC" w:rsidRPr="00EF47DC" w:rsidRDefault="00EF47DC" w:rsidP="00EF47DC">
      <w:pPr>
        <w:spacing w:after="0" w:line="240" w:lineRule="auto"/>
        <w:jc w:val="both"/>
        <w:rPr>
          <w:rFonts w:ascii="Arial" w:eastAsia="Times New Roman" w:hAnsi="Arial" w:cs="Arial"/>
          <w:color w:val="000000"/>
          <w:sz w:val="22"/>
          <w:szCs w:val="22"/>
          <w:lang w:eastAsia="zh-CN"/>
        </w:rPr>
      </w:pPr>
      <w:r w:rsidRPr="00EF47DC">
        <w:rPr>
          <w:rFonts w:ascii="Arial" w:eastAsia="Times New Roman" w:hAnsi="Arial" w:cs="Arial"/>
          <w:color w:val="000000"/>
          <w:sz w:val="22"/>
          <w:szCs w:val="22"/>
          <w:lang w:eastAsia="zh-CN"/>
        </w:rPr>
        <w:t>Le graphique suivant illustre l’évolution des dépenses de fonctionnement, à l’appui, pour les années à venir, des hypothèses décrites plus haut.</w:t>
      </w:r>
    </w:p>
    <w:p w:rsidR="00EF47DC" w:rsidRPr="00EF47DC" w:rsidRDefault="00EF47DC"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rPr>
          <w:rFonts w:ascii="Arial" w:eastAsia="Times New Roman" w:hAnsi="Arial" w:cs="Arial"/>
          <w:color w:val="000000"/>
          <w:sz w:val="22"/>
          <w:szCs w:val="22"/>
          <w:lang w:val="en-US" w:eastAsia="zh-CN"/>
        </w:rPr>
      </w:pPr>
      <w:r w:rsidRPr="00EF47DC">
        <w:rPr>
          <w:rFonts w:ascii="Times New Roman" w:eastAsia="Times New Roman" w:hAnsi="Times New Roman" w:cs="Times New Roman"/>
          <w:noProof/>
          <w:sz w:val="20"/>
          <w:szCs w:val="20"/>
          <w:lang w:eastAsia="fr-FR"/>
        </w:rPr>
        <w:drawing>
          <wp:inline distT="0" distB="0" distL="0" distR="0" wp14:anchorId="234F2591" wp14:editId="2E60F58E">
            <wp:extent cx="6268358" cy="3048000"/>
            <wp:effectExtent l="0" t="0" r="0" b="0"/>
            <wp:docPr id="17" name="Image 17" descr="ooxWord://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oxWord://media/image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7069" cy="3052236"/>
                    </a:xfrm>
                    <a:prstGeom prst="rect">
                      <a:avLst/>
                    </a:prstGeom>
                    <a:noFill/>
                    <a:ln>
                      <a:noFill/>
                    </a:ln>
                  </pic:spPr>
                </pic:pic>
              </a:graphicData>
            </a:graphic>
          </wp:inline>
        </w:drawing>
      </w:r>
    </w:p>
    <w:p w:rsidR="0015399E" w:rsidRDefault="0015399E" w:rsidP="00EF47DC">
      <w:pPr>
        <w:spacing w:after="0" w:line="240" w:lineRule="auto"/>
        <w:jc w:val="both"/>
        <w:rPr>
          <w:rFonts w:ascii="Arial" w:eastAsia="Times New Roman" w:hAnsi="Arial" w:cs="Arial"/>
          <w:color w:val="000000"/>
          <w:sz w:val="22"/>
          <w:szCs w:val="22"/>
          <w:lang w:eastAsia="zh-CN"/>
        </w:rPr>
      </w:pPr>
    </w:p>
    <w:p w:rsidR="00EF47DC" w:rsidRPr="00EF47DC" w:rsidRDefault="00EF47DC" w:rsidP="00EF47DC">
      <w:pPr>
        <w:spacing w:after="0" w:line="240" w:lineRule="auto"/>
        <w:jc w:val="both"/>
        <w:rPr>
          <w:rFonts w:ascii="Arial" w:eastAsia="Arial" w:hAnsi="Arial" w:cs="Arial"/>
          <w:b/>
          <w:bCs/>
          <w:color w:val="000000"/>
          <w:sz w:val="16"/>
          <w:szCs w:val="16"/>
          <w:u w:val="single"/>
          <w:lang w:eastAsia="zh-CN"/>
        </w:rPr>
      </w:pPr>
      <w:r w:rsidRPr="00EF47DC">
        <w:rPr>
          <w:rFonts w:ascii="Arial" w:eastAsia="Times New Roman" w:hAnsi="Arial" w:cs="Arial"/>
          <w:color w:val="000000"/>
          <w:sz w:val="22"/>
          <w:szCs w:val="22"/>
          <w:lang w:eastAsia="zh-CN"/>
        </w:rPr>
        <w:t>Le graphique ci-dessous illustre cette fois l’évolution de la répartition des dépenses de fonctionnement de la commune. Bien que l’effectif des agents municipaux ait diminué, les efforts importants d’économies réalisées sur les autres postes de dépenses, ainsi que la progression automatique des carrières, entraînent une légère augmentation de la part des dépenses de personnel.</w:t>
      </w:r>
    </w:p>
    <w:p w:rsidR="0015399E" w:rsidRDefault="0015399E" w:rsidP="00150D08">
      <w:pPr>
        <w:jc w:val="both"/>
        <w:rPr>
          <w:rFonts w:ascii="Arial" w:hAnsi="Arial" w:cs="Arial"/>
          <w:b/>
          <w:sz w:val="22"/>
          <w:szCs w:val="22"/>
          <w:u w:val="single"/>
        </w:rPr>
      </w:pPr>
    </w:p>
    <w:p w:rsidR="00A93F33" w:rsidRPr="00151F71" w:rsidRDefault="00A93F33" w:rsidP="00A93F33">
      <w:pPr>
        <w:jc w:val="both"/>
        <w:rPr>
          <w:rFonts w:ascii="Arial" w:eastAsia="Arial" w:hAnsi="Arial" w:cs="Arial"/>
          <w:b/>
          <w:bCs/>
          <w:color w:val="000000"/>
          <w:sz w:val="16"/>
          <w:szCs w:val="16"/>
          <w:u w:val="single"/>
        </w:rPr>
      </w:pPr>
      <w:r w:rsidRPr="00FF41E5">
        <w:rPr>
          <w:rFonts w:ascii="Arial" w:hAnsi="Arial" w:cs="Arial"/>
          <w:color w:val="000000"/>
          <w:sz w:val="22"/>
          <w:szCs w:val="22"/>
        </w:rPr>
        <w:t xml:space="preserve">Le graphique ci-dessous illustre cette fois l’évolution de la répartition des </w:t>
      </w:r>
      <w:r>
        <w:rPr>
          <w:rFonts w:ascii="Arial" w:hAnsi="Arial" w:cs="Arial"/>
          <w:color w:val="000000"/>
          <w:sz w:val="22"/>
          <w:szCs w:val="22"/>
        </w:rPr>
        <w:t>dépens</w:t>
      </w:r>
      <w:r w:rsidRPr="00FF41E5">
        <w:rPr>
          <w:rFonts w:ascii="Arial" w:hAnsi="Arial" w:cs="Arial"/>
          <w:color w:val="000000"/>
          <w:sz w:val="22"/>
          <w:szCs w:val="22"/>
        </w:rPr>
        <w:t>es de fonctionnement de la commune.</w:t>
      </w:r>
      <w:r>
        <w:rPr>
          <w:rFonts w:ascii="Arial" w:hAnsi="Arial" w:cs="Arial"/>
          <w:color w:val="000000"/>
          <w:sz w:val="22"/>
          <w:szCs w:val="22"/>
        </w:rPr>
        <w:t xml:space="preserve"> Bien que l’effectif des agents municipaux ait diminué, les efforts importants d’économies réalisées sur les autres postes de dépenses, ainsi que la progression automatique des carrières, entraînent une légère augmentation de la part des dépenses de personnel.</w:t>
      </w:r>
    </w:p>
    <w:p w:rsidR="00A93F33" w:rsidRDefault="00A93F33" w:rsidP="00A93F33">
      <w:bookmarkStart w:id="9" w:name="__bookmark_79"/>
      <w:bookmarkEnd w:id="9"/>
      <w:r>
        <w:rPr>
          <w:noProof/>
          <w:lang w:eastAsia="fr-FR"/>
        </w:rPr>
        <w:lastRenderedPageBreak/>
        <mc:AlternateContent>
          <mc:Choice Requires="wps">
            <w:drawing>
              <wp:anchor distT="0" distB="0" distL="114300" distR="114300" simplePos="0" relativeHeight="251653632" behindDoc="0" locked="0" layoutInCell="1" allowOverlap="1" wp14:anchorId="3F49A37D" wp14:editId="0711C00A">
                <wp:simplePos x="0" y="0"/>
                <wp:positionH relativeFrom="column">
                  <wp:posOffset>0</wp:posOffset>
                </wp:positionH>
                <wp:positionV relativeFrom="paragraph">
                  <wp:posOffset>0</wp:posOffset>
                </wp:positionV>
                <wp:extent cx="635000" cy="635000"/>
                <wp:effectExtent l="0" t="0" r="3175" b="3175"/>
                <wp:wrapNone/>
                <wp:docPr id="3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E161B" id="AutoShape 1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j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QZ7j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fr-FR"/>
        </w:rPr>
        <w:drawing>
          <wp:inline distT="0" distB="0" distL="0" distR="0" wp14:anchorId="4F00FA00" wp14:editId="7383BEF1">
            <wp:extent cx="6231357" cy="3895725"/>
            <wp:effectExtent l="0" t="0" r="0" b="0"/>
            <wp:docPr id="18" name="Image 18" descr="ooxWord://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oxWord://media/image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5150" cy="3898096"/>
                    </a:xfrm>
                    <a:prstGeom prst="rect">
                      <a:avLst/>
                    </a:prstGeom>
                    <a:noFill/>
                    <a:ln>
                      <a:noFill/>
                    </a:ln>
                  </pic:spPr>
                </pic:pic>
              </a:graphicData>
            </a:graphic>
          </wp:inline>
        </w:drawing>
      </w:r>
    </w:p>
    <w:p w:rsidR="00A93F33" w:rsidRPr="00CC26F5" w:rsidRDefault="00A93F33" w:rsidP="00A93F33">
      <w:pPr>
        <w:ind w:firstLine="708"/>
        <w:jc w:val="both"/>
        <w:rPr>
          <w:rFonts w:ascii="Arial" w:eastAsia="Arial" w:hAnsi="Arial" w:cs="Arial"/>
          <w:b/>
          <w:bCs/>
          <w:color w:val="000000"/>
          <w:sz w:val="22"/>
          <w:szCs w:val="22"/>
        </w:rPr>
      </w:pPr>
      <w:r w:rsidRPr="00CC26F5">
        <w:rPr>
          <w:rFonts w:ascii="Arial" w:eastAsia="Arial" w:hAnsi="Arial" w:cs="Arial"/>
          <w:b/>
          <w:bCs/>
          <w:color w:val="000000"/>
          <w:sz w:val="22"/>
          <w:szCs w:val="22"/>
        </w:rPr>
        <w:t>Zoom sur l’évolution des dépenses de personnel</w:t>
      </w:r>
      <w:r>
        <w:rPr>
          <w:rFonts w:ascii="Arial" w:eastAsia="Arial" w:hAnsi="Arial" w:cs="Arial"/>
          <w:b/>
          <w:bCs/>
          <w:color w:val="000000"/>
          <w:sz w:val="22"/>
          <w:szCs w:val="22"/>
        </w:rPr>
        <w:t> :</w:t>
      </w:r>
    </w:p>
    <w:p w:rsidR="00A93F33" w:rsidRPr="00CC26F5" w:rsidRDefault="00A93F33" w:rsidP="00A93F33">
      <w:pPr>
        <w:jc w:val="both"/>
        <w:rPr>
          <w:rFonts w:ascii="Arial" w:eastAsia="Arial" w:hAnsi="Arial" w:cs="Arial"/>
          <w:color w:val="000000"/>
          <w:sz w:val="22"/>
          <w:szCs w:val="22"/>
        </w:rPr>
      </w:pPr>
      <w:r>
        <w:rPr>
          <w:rFonts w:ascii="Arial" w:eastAsia="Arial" w:hAnsi="Arial" w:cs="Arial"/>
          <w:color w:val="000000"/>
          <w:sz w:val="22"/>
          <w:szCs w:val="22"/>
        </w:rPr>
        <w:t xml:space="preserve">Le tableau et le graphique suivant montrent que malgré les efforts d’économie réalisés, les dépenses de personnels augmentent à nouveau légèrement à partir de 2019, non pas à la suite de nouveaux recrutements mais en raison de la progression automatique des carrières. </w:t>
      </w:r>
    </w:p>
    <w:p w:rsidR="00A93F33" w:rsidRPr="000934DB" w:rsidRDefault="00A93F33" w:rsidP="00A93F33">
      <w:pPr>
        <w:rPr>
          <w:color w:val="000000"/>
        </w:rPr>
      </w:pPr>
    </w:p>
    <w:tbl>
      <w:tblPr>
        <w:tblW w:w="9774" w:type="dxa"/>
        <w:tblLayout w:type="fixed"/>
        <w:tblLook w:val="01E0" w:firstRow="1" w:lastRow="1" w:firstColumn="1" w:lastColumn="1" w:noHBand="0" w:noVBand="0"/>
      </w:tblPr>
      <w:tblGrid>
        <w:gridCol w:w="1396"/>
        <w:gridCol w:w="1396"/>
        <w:gridCol w:w="1396"/>
        <w:gridCol w:w="1396"/>
        <w:gridCol w:w="1396"/>
        <w:gridCol w:w="1396"/>
        <w:gridCol w:w="1398"/>
      </w:tblGrid>
      <w:tr w:rsidR="00A93F33" w:rsidRPr="005B7581" w:rsidTr="00F5712A">
        <w:trPr>
          <w:trHeight w:val="253"/>
          <w:tblHeader/>
        </w:trPr>
        <w:tc>
          <w:tcPr>
            <w:tcW w:w="1396"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A93F33" w:rsidRPr="005B7581" w:rsidRDefault="00A93F33" w:rsidP="00F5712A">
            <w:pPr>
              <w:jc w:val="center"/>
              <w:rPr>
                <w:rFonts w:ascii="Arial" w:eastAsia="Arial" w:hAnsi="Arial" w:cs="Arial"/>
                <w:b/>
                <w:bCs/>
                <w:color w:val="FFFFFF"/>
                <w:sz w:val="22"/>
                <w:szCs w:val="22"/>
              </w:rPr>
            </w:pPr>
            <w:r w:rsidRPr="005B7581">
              <w:rPr>
                <w:rFonts w:ascii="Arial" w:eastAsia="Arial" w:hAnsi="Arial" w:cs="Arial"/>
                <w:b/>
                <w:bCs/>
                <w:color w:val="FFFFFF"/>
                <w:sz w:val="22"/>
                <w:szCs w:val="22"/>
              </w:rPr>
              <w:t>2016</w:t>
            </w:r>
          </w:p>
        </w:tc>
        <w:tc>
          <w:tcPr>
            <w:tcW w:w="1396"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A93F33" w:rsidRPr="005B7581" w:rsidRDefault="00A93F33" w:rsidP="00F5712A">
            <w:pPr>
              <w:jc w:val="center"/>
              <w:rPr>
                <w:rFonts w:ascii="Arial" w:eastAsia="Arial" w:hAnsi="Arial" w:cs="Arial"/>
                <w:b/>
                <w:bCs/>
                <w:color w:val="FFFFFF"/>
                <w:sz w:val="22"/>
                <w:szCs w:val="22"/>
              </w:rPr>
            </w:pPr>
            <w:r w:rsidRPr="005B7581">
              <w:rPr>
                <w:rFonts w:ascii="Arial" w:eastAsia="Arial" w:hAnsi="Arial" w:cs="Arial"/>
                <w:b/>
                <w:bCs/>
                <w:color w:val="FFFFFF"/>
                <w:sz w:val="22"/>
                <w:szCs w:val="22"/>
              </w:rPr>
              <w:t>2017</w:t>
            </w:r>
          </w:p>
        </w:tc>
        <w:tc>
          <w:tcPr>
            <w:tcW w:w="1396"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A93F33" w:rsidRPr="005B7581" w:rsidRDefault="00A93F33" w:rsidP="00F5712A">
            <w:pPr>
              <w:jc w:val="center"/>
              <w:rPr>
                <w:rFonts w:ascii="Arial" w:eastAsia="Arial" w:hAnsi="Arial" w:cs="Arial"/>
                <w:b/>
                <w:bCs/>
                <w:color w:val="FFFFFF"/>
                <w:sz w:val="22"/>
                <w:szCs w:val="22"/>
              </w:rPr>
            </w:pPr>
            <w:r w:rsidRPr="005B7581">
              <w:rPr>
                <w:rFonts w:ascii="Arial" w:eastAsia="Arial" w:hAnsi="Arial" w:cs="Arial"/>
                <w:b/>
                <w:bCs/>
                <w:color w:val="FFFFFF"/>
                <w:sz w:val="22"/>
                <w:szCs w:val="22"/>
              </w:rPr>
              <w:t>2018</w:t>
            </w:r>
          </w:p>
        </w:tc>
        <w:tc>
          <w:tcPr>
            <w:tcW w:w="1396"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A93F33" w:rsidRPr="005B7581" w:rsidRDefault="00A93F33" w:rsidP="00F5712A">
            <w:pPr>
              <w:jc w:val="center"/>
              <w:rPr>
                <w:rFonts w:ascii="Arial" w:eastAsia="Arial" w:hAnsi="Arial" w:cs="Arial"/>
                <w:b/>
                <w:bCs/>
                <w:color w:val="FFFFFF"/>
                <w:sz w:val="22"/>
                <w:szCs w:val="22"/>
              </w:rPr>
            </w:pPr>
            <w:r w:rsidRPr="005B7581">
              <w:rPr>
                <w:rFonts w:ascii="Arial" w:eastAsia="Arial" w:hAnsi="Arial" w:cs="Arial"/>
                <w:b/>
                <w:bCs/>
                <w:color w:val="FFFFFF"/>
                <w:sz w:val="22"/>
                <w:szCs w:val="22"/>
              </w:rPr>
              <w:t>2019</w:t>
            </w:r>
          </w:p>
        </w:tc>
        <w:tc>
          <w:tcPr>
            <w:tcW w:w="1396"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A93F33" w:rsidRPr="005B7581" w:rsidRDefault="00A93F33" w:rsidP="00F5712A">
            <w:pPr>
              <w:jc w:val="center"/>
              <w:rPr>
                <w:rFonts w:ascii="Arial" w:eastAsia="Arial" w:hAnsi="Arial" w:cs="Arial"/>
                <w:b/>
                <w:bCs/>
                <w:color w:val="FFFFFF"/>
                <w:sz w:val="22"/>
                <w:szCs w:val="22"/>
              </w:rPr>
            </w:pPr>
            <w:r w:rsidRPr="005B7581">
              <w:rPr>
                <w:rFonts w:ascii="Arial" w:eastAsia="Arial" w:hAnsi="Arial" w:cs="Arial"/>
                <w:b/>
                <w:bCs/>
                <w:color w:val="FFFFFF"/>
                <w:sz w:val="22"/>
                <w:szCs w:val="22"/>
              </w:rPr>
              <w:t>2020</w:t>
            </w:r>
          </w:p>
        </w:tc>
        <w:tc>
          <w:tcPr>
            <w:tcW w:w="1396"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A93F33" w:rsidRPr="005B7581" w:rsidRDefault="00A93F33" w:rsidP="00F5712A">
            <w:pPr>
              <w:jc w:val="center"/>
              <w:rPr>
                <w:rFonts w:ascii="Arial" w:eastAsia="Arial" w:hAnsi="Arial" w:cs="Arial"/>
                <w:b/>
                <w:bCs/>
                <w:color w:val="FFFFFF"/>
                <w:sz w:val="22"/>
                <w:szCs w:val="22"/>
              </w:rPr>
            </w:pPr>
            <w:r w:rsidRPr="005B7581">
              <w:rPr>
                <w:rFonts w:ascii="Arial" w:eastAsia="Arial" w:hAnsi="Arial" w:cs="Arial"/>
                <w:b/>
                <w:bCs/>
                <w:color w:val="FFFFFF"/>
                <w:sz w:val="22"/>
                <w:szCs w:val="22"/>
              </w:rPr>
              <w:t>2021</w:t>
            </w:r>
          </w:p>
        </w:tc>
        <w:tc>
          <w:tcPr>
            <w:tcW w:w="1398"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A93F33" w:rsidRPr="005B7581" w:rsidRDefault="00A93F33" w:rsidP="00F5712A">
            <w:pPr>
              <w:jc w:val="center"/>
              <w:rPr>
                <w:rFonts w:ascii="Arial" w:eastAsia="Arial" w:hAnsi="Arial" w:cs="Arial"/>
                <w:b/>
                <w:bCs/>
                <w:color w:val="FFFFFF"/>
                <w:sz w:val="22"/>
                <w:szCs w:val="22"/>
              </w:rPr>
            </w:pPr>
            <w:r w:rsidRPr="005B7581">
              <w:rPr>
                <w:rFonts w:ascii="Arial" w:eastAsia="Arial" w:hAnsi="Arial" w:cs="Arial"/>
                <w:b/>
                <w:bCs/>
                <w:color w:val="FFFFFF"/>
                <w:sz w:val="22"/>
                <w:szCs w:val="22"/>
              </w:rPr>
              <w:t>2022</w:t>
            </w:r>
          </w:p>
        </w:tc>
      </w:tr>
      <w:tr w:rsidR="00A93F33" w:rsidRPr="005B7581" w:rsidTr="00F5712A">
        <w:trPr>
          <w:trHeight w:val="253"/>
        </w:trPr>
        <w:tc>
          <w:tcPr>
            <w:tcW w:w="139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A93F33" w:rsidRPr="005B7581" w:rsidRDefault="00A93F33" w:rsidP="00F5712A">
            <w:pPr>
              <w:jc w:val="right"/>
              <w:rPr>
                <w:rFonts w:ascii="Arial" w:eastAsia="Arial" w:hAnsi="Arial" w:cs="Arial"/>
                <w:color w:val="000000"/>
                <w:sz w:val="22"/>
                <w:szCs w:val="22"/>
              </w:rPr>
            </w:pPr>
            <w:r w:rsidRPr="005B7581">
              <w:rPr>
                <w:rFonts w:ascii="Arial" w:eastAsia="Arial" w:hAnsi="Arial" w:cs="Arial"/>
                <w:color w:val="000000"/>
                <w:sz w:val="22"/>
                <w:szCs w:val="22"/>
              </w:rPr>
              <w:t>3 173 116</w:t>
            </w:r>
          </w:p>
        </w:tc>
        <w:tc>
          <w:tcPr>
            <w:tcW w:w="139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A93F33" w:rsidRPr="005B7581" w:rsidRDefault="00A93F33" w:rsidP="00F5712A">
            <w:pPr>
              <w:jc w:val="right"/>
              <w:rPr>
                <w:rFonts w:ascii="Arial" w:eastAsia="Arial" w:hAnsi="Arial" w:cs="Arial"/>
                <w:color w:val="000000"/>
                <w:sz w:val="22"/>
                <w:szCs w:val="22"/>
              </w:rPr>
            </w:pPr>
            <w:r w:rsidRPr="005B7581">
              <w:rPr>
                <w:rFonts w:ascii="Arial" w:eastAsia="Arial" w:hAnsi="Arial" w:cs="Arial"/>
                <w:color w:val="000000"/>
                <w:sz w:val="22"/>
                <w:szCs w:val="22"/>
              </w:rPr>
              <w:t>3 153 781</w:t>
            </w:r>
          </w:p>
        </w:tc>
        <w:tc>
          <w:tcPr>
            <w:tcW w:w="139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A93F33" w:rsidRPr="005B7581" w:rsidRDefault="00A93F33" w:rsidP="00F5712A">
            <w:pPr>
              <w:jc w:val="right"/>
              <w:rPr>
                <w:rFonts w:ascii="Arial" w:eastAsia="Arial" w:hAnsi="Arial" w:cs="Arial"/>
                <w:color w:val="000000"/>
                <w:sz w:val="22"/>
                <w:szCs w:val="22"/>
              </w:rPr>
            </w:pPr>
            <w:r w:rsidRPr="005B7581">
              <w:rPr>
                <w:rFonts w:ascii="Arial" w:eastAsia="Arial" w:hAnsi="Arial" w:cs="Arial"/>
                <w:color w:val="000000"/>
                <w:sz w:val="22"/>
                <w:szCs w:val="22"/>
              </w:rPr>
              <w:t>2 965 077</w:t>
            </w:r>
          </w:p>
        </w:tc>
        <w:tc>
          <w:tcPr>
            <w:tcW w:w="139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A93F33" w:rsidRPr="005B7581" w:rsidRDefault="00A93F33" w:rsidP="00F5712A">
            <w:pPr>
              <w:jc w:val="right"/>
              <w:rPr>
                <w:rFonts w:ascii="Arial" w:eastAsia="Arial" w:hAnsi="Arial" w:cs="Arial"/>
                <w:color w:val="000000"/>
                <w:sz w:val="22"/>
                <w:szCs w:val="22"/>
              </w:rPr>
            </w:pPr>
            <w:r w:rsidRPr="005B7581">
              <w:rPr>
                <w:rFonts w:ascii="Arial" w:eastAsia="Arial" w:hAnsi="Arial" w:cs="Arial"/>
                <w:color w:val="000000"/>
                <w:sz w:val="22"/>
                <w:szCs w:val="22"/>
              </w:rPr>
              <w:t>3 030 000</w:t>
            </w:r>
          </w:p>
        </w:tc>
        <w:tc>
          <w:tcPr>
            <w:tcW w:w="139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A93F33" w:rsidRPr="005B7581" w:rsidRDefault="00A93F33" w:rsidP="00F5712A">
            <w:pPr>
              <w:jc w:val="right"/>
              <w:rPr>
                <w:rFonts w:ascii="Arial" w:eastAsia="Arial" w:hAnsi="Arial" w:cs="Arial"/>
                <w:color w:val="000000"/>
                <w:sz w:val="22"/>
                <w:szCs w:val="22"/>
              </w:rPr>
            </w:pPr>
            <w:r w:rsidRPr="005B7581">
              <w:rPr>
                <w:rFonts w:ascii="Arial" w:eastAsia="Arial" w:hAnsi="Arial" w:cs="Arial"/>
                <w:color w:val="000000"/>
                <w:sz w:val="22"/>
                <w:szCs w:val="22"/>
              </w:rPr>
              <w:t>3 090 600</w:t>
            </w:r>
          </w:p>
        </w:tc>
        <w:tc>
          <w:tcPr>
            <w:tcW w:w="139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A93F33" w:rsidRPr="005B7581" w:rsidRDefault="00A93F33" w:rsidP="00F5712A">
            <w:pPr>
              <w:jc w:val="right"/>
              <w:rPr>
                <w:rFonts w:ascii="Arial" w:eastAsia="Arial" w:hAnsi="Arial" w:cs="Arial"/>
                <w:color w:val="000000"/>
                <w:sz w:val="22"/>
                <w:szCs w:val="22"/>
              </w:rPr>
            </w:pPr>
            <w:r w:rsidRPr="005B7581">
              <w:rPr>
                <w:rFonts w:ascii="Arial" w:eastAsia="Arial" w:hAnsi="Arial" w:cs="Arial"/>
                <w:color w:val="000000"/>
                <w:sz w:val="22"/>
                <w:szCs w:val="22"/>
              </w:rPr>
              <w:t>3 152 412</w:t>
            </w:r>
          </w:p>
        </w:tc>
        <w:tc>
          <w:tcPr>
            <w:tcW w:w="1398"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A93F33" w:rsidRPr="005B7581" w:rsidRDefault="00A93F33" w:rsidP="00F5712A">
            <w:pPr>
              <w:jc w:val="right"/>
              <w:rPr>
                <w:rFonts w:ascii="Arial" w:eastAsia="Arial" w:hAnsi="Arial" w:cs="Arial"/>
                <w:color w:val="000000"/>
                <w:sz w:val="22"/>
                <w:szCs w:val="22"/>
              </w:rPr>
            </w:pPr>
            <w:r w:rsidRPr="005B7581">
              <w:rPr>
                <w:rFonts w:ascii="Arial" w:eastAsia="Arial" w:hAnsi="Arial" w:cs="Arial"/>
                <w:color w:val="000000"/>
                <w:sz w:val="22"/>
                <w:szCs w:val="22"/>
              </w:rPr>
              <w:t>3 215 460</w:t>
            </w:r>
          </w:p>
        </w:tc>
      </w:tr>
    </w:tbl>
    <w:p w:rsidR="00A93F33" w:rsidRDefault="00A93F33" w:rsidP="00A93F33">
      <w:pPr>
        <w:rPr>
          <w:color w:val="000000"/>
        </w:rPr>
      </w:pPr>
    </w:p>
    <w:p w:rsidR="00A93F33" w:rsidRDefault="00A93F33" w:rsidP="00A93F33">
      <w:pPr>
        <w:rPr>
          <w:color w:val="000000"/>
        </w:rPr>
      </w:pPr>
    </w:p>
    <w:p w:rsidR="00A93F33" w:rsidRDefault="00A93F33" w:rsidP="00A93F33">
      <w:pPr>
        <w:rPr>
          <w:color w:val="000000"/>
        </w:rPr>
      </w:pPr>
      <w:r>
        <w:rPr>
          <w:noProof/>
          <w:lang w:eastAsia="fr-FR"/>
        </w:rPr>
        <w:lastRenderedPageBreak/>
        <w:drawing>
          <wp:inline distT="0" distB="0" distL="0" distR="0" wp14:anchorId="204127CD" wp14:editId="7EA0ADDF">
            <wp:extent cx="6210300" cy="3019769"/>
            <wp:effectExtent l="0" t="0" r="0" b="9525"/>
            <wp:docPr id="19" name="Image 19" descr="ooxWord://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oxWord://media/image1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5187" cy="3027008"/>
                    </a:xfrm>
                    <a:prstGeom prst="rect">
                      <a:avLst/>
                    </a:prstGeom>
                    <a:noFill/>
                    <a:ln>
                      <a:noFill/>
                    </a:ln>
                  </pic:spPr>
                </pic:pic>
              </a:graphicData>
            </a:graphic>
          </wp:inline>
        </w:drawing>
      </w:r>
    </w:p>
    <w:p w:rsidR="00A93F33" w:rsidRDefault="00A93F33" w:rsidP="00B05666">
      <w:pPr>
        <w:spacing w:after="0"/>
      </w:pPr>
      <w:bookmarkStart w:id="10" w:name="__bookmark_82"/>
      <w:bookmarkEnd w:id="10"/>
      <w:r>
        <w:rPr>
          <w:noProof/>
          <w:lang w:eastAsia="fr-FR"/>
        </w:rPr>
        <mc:AlternateContent>
          <mc:Choice Requires="wps">
            <w:drawing>
              <wp:anchor distT="0" distB="0" distL="114300" distR="114300" simplePos="0" relativeHeight="251655680" behindDoc="0" locked="0" layoutInCell="1" allowOverlap="1" wp14:anchorId="753B525F" wp14:editId="7FD40B35">
                <wp:simplePos x="0" y="0"/>
                <wp:positionH relativeFrom="column">
                  <wp:posOffset>0</wp:posOffset>
                </wp:positionH>
                <wp:positionV relativeFrom="paragraph">
                  <wp:posOffset>0</wp:posOffset>
                </wp:positionV>
                <wp:extent cx="635000" cy="635000"/>
                <wp:effectExtent l="0" t="0" r="3175" b="3175"/>
                <wp:wrapNone/>
                <wp:docPr id="3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C2511" id="AutoShape 1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4E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OMa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Pvg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rFonts w:ascii="Arial" w:eastAsia="Arial" w:hAnsi="Arial" w:cs="Arial"/>
          <w:color w:val="000000"/>
          <w:sz w:val="22"/>
          <w:szCs w:val="22"/>
        </w:rPr>
        <w:t>Les dépenses moyennes en matière de rémunérations et frais assimilés des communes de même strate représentent 54,9% de leurs dépenses réelles de fonctionnement en 2017.</w:t>
      </w:r>
    </w:p>
    <w:p w:rsidR="00A93F33" w:rsidRDefault="00A93F33" w:rsidP="00B05666">
      <w:pPr>
        <w:spacing w:after="0"/>
        <w:jc w:val="both"/>
        <w:rPr>
          <w:rFonts w:ascii="Arial" w:hAnsi="Arial" w:cs="Arial"/>
          <w:b/>
          <w:sz w:val="22"/>
          <w:szCs w:val="22"/>
          <w:u w:val="single"/>
        </w:rPr>
      </w:pPr>
    </w:p>
    <w:p w:rsidR="003A41BB" w:rsidRDefault="003A41BB" w:rsidP="00B05666">
      <w:pPr>
        <w:spacing w:after="0"/>
        <w:jc w:val="both"/>
        <w:rPr>
          <w:rFonts w:ascii="Arial" w:hAnsi="Arial" w:cs="Arial"/>
          <w:i/>
          <w:sz w:val="22"/>
          <w:szCs w:val="22"/>
        </w:rPr>
      </w:pPr>
    </w:p>
    <w:p w:rsidR="00B05666" w:rsidRDefault="00B05666" w:rsidP="00B05666">
      <w:pPr>
        <w:spacing w:after="0"/>
        <w:jc w:val="both"/>
        <w:rPr>
          <w:rFonts w:ascii="Arial" w:hAnsi="Arial" w:cs="Arial"/>
          <w:i/>
          <w:sz w:val="22"/>
          <w:szCs w:val="22"/>
        </w:rPr>
      </w:pPr>
      <w:r w:rsidRPr="00B05666">
        <w:rPr>
          <w:rFonts w:ascii="Arial" w:hAnsi="Arial" w:cs="Arial"/>
          <w:i/>
          <w:sz w:val="22"/>
          <w:szCs w:val="22"/>
        </w:rPr>
        <w:t>Daniel ROBERT-CHARRERAU présente les grands équilibres financiers.</w:t>
      </w:r>
    </w:p>
    <w:p w:rsidR="00B05666" w:rsidRPr="00B05666" w:rsidRDefault="00B05666" w:rsidP="00B05666">
      <w:pPr>
        <w:spacing w:after="0"/>
        <w:jc w:val="both"/>
        <w:rPr>
          <w:rFonts w:ascii="Arial" w:hAnsi="Arial" w:cs="Arial"/>
          <w:i/>
          <w:sz w:val="22"/>
          <w:szCs w:val="22"/>
        </w:rPr>
      </w:pPr>
    </w:p>
    <w:p w:rsidR="00B05666" w:rsidRPr="00B05666" w:rsidRDefault="00B05666" w:rsidP="00B05666">
      <w:pPr>
        <w:spacing w:after="0" w:line="240" w:lineRule="auto"/>
        <w:jc w:val="both"/>
        <w:rPr>
          <w:rFonts w:ascii="Arial" w:eastAsia="Times New Roman" w:hAnsi="Arial" w:cs="Arial"/>
          <w:color w:val="000000"/>
          <w:sz w:val="22"/>
          <w:szCs w:val="22"/>
          <w:lang w:eastAsia="zh-CN"/>
        </w:rPr>
      </w:pPr>
      <w:r w:rsidRPr="00B05666">
        <w:rPr>
          <w:rFonts w:ascii="Arial" w:eastAsia="Times New Roman" w:hAnsi="Arial" w:cs="Arial"/>
          <w:color w:val="000000"/>
          <w:sz w:val="22"/>
          <w:szCs w:val="22"/>
          <w:lang w:eastAsia="zh-CN"/>
        </w:rPr>
        <w:t>Les hypothèses décrites dans le paragraphe précédent, prises en compte pour l’évolution de la section de fonctionnement, aboutissent aux grands équilibres financiers suivants, mesurés par les soldes intermédiaires de gestion.</w:t>
      </w:r>
    </w:p>
    <w:p w:rsidR="00B05666" w:rsidRPr="00B05666" w:rsidRDefault="00B05666" w:rsidP="00B05666">
      <w:pPr>
        <w:spacing w:after="0" w:line="240" w:lineRule="auto"/>
        <w:jc w:val="both"/>
        <w:rPr>
          <w:rFonts w:ascii="Arial" w:eastAsia="Times New Roman" w:hAnsi="Arial" w:cs="Arial"/>
          <w:color w:val="000000"/>
          <w:sz w:val="22"/>
          <w:szCs w:val="22"/>
          <w:lang w:eastAsia="zh-CN"/>
        </w:rPr>
      </w:pPr>
    </w:p>
    <w:tbl>
      <w:tblPr>
        <w:tblW w:w="10545" w:type="dxa"/>
        <w:tblLayout w:type="fixed"/>
        <w:tblCellMar>
          <w:left w:w="0" w:type="dxa"/>
          <w:right w:w="0" w:type="dxa"/>
        </w:tblCellMar>
        <w:tblLook w:val="01E0" w:firstRow="1" w:lastRow="1" w:firstColumn="1" w:lastColumn="1" w:noHBand="0" w:noVBand="0"/>
      </w:tblPr>
      <w:tblGrid>
        <w:gridCol w:w="10545"/>
      </w:tblGrid>
      <w:tr w:rsidR="00B05666" w:rsidRPr="00B05666" w:rsidTr="00F5712A">
        <w:tc>
          <w:tcPr>
            <w:tcW w:w="10545" w:type="dxa"/>
            <w:tcMar>
              <w:top w:w="0" w:type="dxa"/>
              <w:left w:w="0" w:type="dxa"/>
              <w:bottom w:w="0" w:type="dxa"/>
              <w:right w:w="0" w:type="dxa"/>
            </w:tcMar>
            <w:vAlign w:val="center"/>
          </w:tcPr>
          <w:p w:rsidR="00B05666" w:rsidRPr="00B05666" w:rsidRDefault="00B05666" w:rsidP="00B05666">
            <w:pPr>
              <w:spacing w:after="0" w:line="240" w:lineRule="auto"/>
              <w:jc w:val="both"/>
              <w:rPr>
                <w:rFonts w:ascii="Arial" w:eastAsia="Times New Roman" w:hAnsi="Arial" w:cs="Arial"/>
                <w:b/>
                <w:bCs/>
                <w:color w:val="005C73"/>
                <w:sz w:val="22"/>
                <w:szCs w:val="22"/>
                <w:u w:val="single"/>
                <w:lang w:eastAsia="zh-CN"/>
              </w:rPr>
            </w:pPr>
            <w:bookmarkStart w:id="11" w:name="__bookmark_15"/>
            <w:bookmarkEnd w:id="11"/>
            <w:r w:rsidRPr="00B05666">
              <w:rPr>
                <w:rFonts w:ascii="Arial" w:eastAsia="Times New Roman" w:hAnsi="Arial" w:cs="Arial"/>
                <w:b/>
                <w:bCs/>
                <w:sz w:val="22"/>
                <w:szCs w:val="22"/>
                <w:u w:val="single"/>
                <w:lang w:eastAsia="zh-CN"/>
              </w:rPr>
              <w:t>Les soldes intermédiaires de gestion</w:t>
            </w:r>
          </w:p>
          <w:p w:rsidR="00B05666" w:rsidRPr="00B05666" w:rsidRDefault="00B05666" w:rsidP="00B05666">
            <w:pPr>
              <w:spacing w:after="0" w:line="1" w:lineRule="auto"/>
              <w:jc w:val="both"/>
              <w:rPr>
                <w:rFonts w:ascii="Times New Roman" w:eastAsia="Times New Roman" w:hAnsi="Times New Roman" w:cs="Times New Roman"/>
                <w:sz w:val="22"/>
                <w:szCs w:val="22"/>
                <w:lang w:eastAsia="zh-CN"/>
              </w:rPr>
            </w:pPr>
          </w:p>
        </w:tc>
      </w:tr>
      <w:tr w:rsidR="00B05666" w:rsidRPr="00B05666" w:rsidTr="00F5712A">
        <w:tc>
          <w:tcPr>
            <w:tcW w:w="10545" w:type="dxa"/>
            <w:tcMar>
              <w:top w:w="0" w:type="dxa"/>
              <w:left w:w="0" w:type="dxa"/>
              <w:bottom w:w="0" w:type="dxa"/>
              <w:right w:w="0" w:type="dxa"/>
            </w:tcMar>
            <w:vAlign w:val="center"/>
          </w:tcPr>
          <w:p w:rsidR="00B05666" w:rsidRPr="00B05666" w:rsidRDefault="00B05666" w:rsidP="00B05666">
            <w:pPr>
              <w:spacing w:after="0" w:line="240" w:lineRule="auto"/>
              <w:jc w:val="both"/>
              <w:rPr>
                <w:rFonts w:ascii="Arial" w:eastAsia="Times New Roman" w:hAnsi="Arial" w:cs="Arial"/>
                <w:b/>
                <w:bCs/>
                <w:color w:val="005C73"/>
                <w:sz w:val="22"/>
                <w:szCs w:val="22"/>
                <w:u w:val="single"/>
                <w:lang w:eastAsia="zh-CN"/>
              </w:rPr>
            </w:pPr>
          </w:p>
        </w:tc>
      </w:tr>
    </w:tbl>
    <w:p w:rsidR="00B05666" w:rsidRPr="00B05666" w:rsidRDefault="00B05666" w:rsidP="00B05666">
      <w:pPr>
        <w:spacing w:after="0" w:line="240" w:lineRule="auto"/>
        <w:jc w:val="both"/>
        <w:rPr>
          <w:rFonts w:ascii="Times New Roman" w:eastAsia="Times New Roman" w:hAnsi="Times New Roman" w:cs="Times New Roman"/>
          <w:sz w:val="22"/>
          <w:szCs w:val="22"/>
          <w:lang w:eastAsia="zh-CN"/>
        </w:rPr>
      </w:pPr>
      <w:r w:rsidRPr="00B05666">
        <w:rPr>
          <w:rFonts w:ascii="Arial" w:eastAsia="Arial" w:hAnsi="Arial" w:cs="Arial"/>
          <w:b/>
          <w:bCs/>
          <w:color w:val="000000"/>
          <w:sz w:val="22"/>
          <w:szCs w:val="22"/>
          <w:lang w:eastAsia="zh-CN"/>
        </w:rPr>
        <w:t>Soldes intermédiaires de gestion :</w:t>
      </w:r>
      <w:r w:rsidRPr="00B05666">
        <w:rPr>
          <w:rFonts w:ascii="Arial" w:eastAsia="Arial" w:hAnsi="Arial" w:cs="Arial"/>
          <w:color w:val="FFFFFF"/>
          <w:sz w:val="22"/>
          <w:szCs w:val="22"/>
          <w:lang w:eastAsia="zh-CN"/>
        </w:rPr>
        <w:t>_</w:t>
      </w:r>
    </w:p>
    <w:p w:rsidR="00B05666" w:rsidRPr="00B05666" w:rsidRDefault="00B05666" w:rsidP="00B05666">
      <w:pPr>
        <w:spacing w:after="0" w:line="240" w:lineRule="auto"/>
        <w:jc w:val="both"/>
        <w:rPr>
          <w:rFonts w:ascii="Arial" w:eastAsia="Arial" w:hAnsi="Arial" w:cs="Arial"/>
          <w:color w:val="000000"/>
          <w:sz w:val="22"/>
          <w:szCs w:val="22"/>
          <w:lang w:eastAsia="zh-CN"/>
        </w:rPr>
      </w:pPr>
      <w:r w:rsidRPr="00B05666">
        <w:rPr>
          <w:rFonts w:ascii="Arial" w:eastAsia="Arial" w:hAnsi="Arial" w:cs="Arial"/>
          <w:color w:val="000000"/>
          <w:sz w:val="22"/>
          <w:szCs w:val="22"/>
          <w:lang w:eastAsia="zh-CN"/>
        </w:rPr>
        <w:t>Ce sont des indicateurs permettant d'analyser la situation financière de la collectivité.</w:t>
      </w:r>
    </w:p>
    <w:p w:rsidR="00B05666" w:rsidRPr="00B05666" w:rsidRDefault="00B05666" w:rsidP="00B05666">
      <w:pPr>
        <w:spacing w:after="0" w:line="240" w:lineRule="auto"/>
        <w:jc w:val="both"/>
        <w:rPr>
          <w:rFonts w:ascii="Times New Roman" w:eastAsia="Times New Roman" w:hAnsi="Times New Roman" w:cs="Times New Roman"/>
          <w:color w:val="000000"/>
          <w:sz w:val="22"/>
          <w:szCs w:val="22"/>
          <w:lang w:eastAsia="zh-CN"/>
        </w:rPr>
      </w:pPr>
    </w:p>
    <w:p w:rsidR="00B05666" w:rsidRPr="00B05666" w:rsidRDefault="00B05666" w:rsidP="00B05666">
      <w:pPr>
        <w:spacing w:after="0" w:line="240" w:lineRule="auto"/>
        <w:jc w:val="both"/>
        <w:rPr>
          <w:rFonts w:ascii="Times New Roman" w:eastAsia="Times New Roman" w:hAnsi="Times New Roman" w:cs="Times New Roman"/>
          <w:sz w:val="22"/>
          <w:szCs w:val="22"/>
          <w:lang w:eastAsia="zh-CN"/>
        </w:rPr>
      </w:pPr>
      <w:r w:rsidRPr="00B05666">
        <w:rPr>
          <w:rFonts w:ascii="Arial" w:eastAsia="Arial" w:hAnsi="Arial" w:cs="Arial"/>
          <w:b/>
          <w:bCs/>
          <w:color w:val="000000"/>
          <w:sz w:val="22"/>
          <w:szCs w:val="22"/>
          <w:lang w:eastAsia="zh-CN"/>
        </w:rPr>
        <w:t>Epargne de gestion :</w:t>
      </w:r>
      <w:r w:rsidRPr="00B05666">
        <w:rPr>
          <w:rFonts w:ascii="Arial" w:eastAsia="Arial" w:hAnsi="Arial" w:cs="Arial"/>
          <w:color w:val="FFFFFF"/>
          <w:sz w:val="22"/>
          <w:szCs w:val="22"/>
          <w:lang w:eastAsia="zh-CN"/>
        </w:rPr>
        <w:t>_</w:t>
      </w:r>
      <w:r w:rsidRPr="00B05666">
        <w:rPr>
          <w:rFonts w:ascii="Arial" w:eastAsia="Arial" w:hAnsi="Arial" w:cs="Arial"/>
          <w:color w:val="000000"/>
          <w:sz w:val="22"/>
          <w:szCs w:val="22"/>
          <w:lang w:eastAsia="zh-CN"/>
        </w:rPr>
        <w:t>Différence entre les recettes et les dépenses de fonctionnement hors intérêts de la dette.</w:t>
      </w:r>
    </w:p>
    <w:p w:rsidR="00B05666" w:rsidRPr="00B05666" w:rsidRDefault="00B05666" w:rsidP="00B05666">
      <w:pPr>
        <w:spacing w:after="0" w:line="240" w:lineRule="auto"/>
        <w:jc w:val="both"/>
        <w:rPr>
          <w:rFonts w:ascii="Times New Roman" w:eastAsia="Times New Roman" w:hAnsi="Times New Roman" w:cs="Times New Roman"/>
          <w:color w:val="000000"/>
          <w:sz w:val="22"/>
          <w:szCs w:val="22"/>
          <w:lang w:eastAsia="zh-CN"/>
        </w:rPr>
      </w:pPr>
      <w:bookmarkStart w:id="12" w:name="__bookmark_16"/>
      <w:bookmarkEnd w:id="12"/>
    </w:p>
    <w:p w:rsidR="00B05666" w:rsidRPr="00B05666" w:rsidRDefault="00B05666" w:rsidP="00B05666">
      <w:pPr>
        <w:spacing w:after="0" w:line="240" w:lineRule="auto"/>
        <w:jc w:val="both"/>
        <w:rPr>
          <w:rFonts w:ascii="Times New Roman" w:eastAsia="Times New Roman" w:hAnsi="Times New Roman" w:cs="Times New Roman"/>
          <w:color w:val="000000"/>
          <w:sz w:val="22"/>
          <w:szCs w:val="22"/>
          <w:lang w:eastAsia="zh-CN"/>
        </w:rPr>
      </w:pPr>
      <w:r w:rsidRPr="00B05666">
        <w:rPr>
          <w:rFonts w:ascii="Arial" w:eastAsia="Arial" w:hAnsi="Arial" w:cs="Arial"/>
          <w:b/>
          <w:bCs/>
          <w:color w:val="000000"/>
          <w:sz w:val="22"/>
          <w:szCs w:val="22"/>
          <w:lang w:eastAsia="zh-CN"/>
        </w:rPr>
        <w:t>Epargne brute :</w:t>
      </w:r>
      <w:r w:rsidRPr="00B05666">
        <w:rPr>
          <w:rFonts w:ascii="Arial" w:eastAsia="Arial" w:hAnsi="Arial" w:cs="Arial"/>
          <w:color w:val="FFFFFF"/>
          <w:sz w:val="22"/>
          <w:szCs w:val="22"/>
          <w:lang w:eastAsia="zh-CN"/>
        </w:rPr>
        <w:t>_</w:t>
      </w:r>
      <w:r w:rsidRPr="00B05666">
        <w:rPr>
          <w:rFonts w:ascii="Arial" w:eastAsia="Arial" w:hAnsi="Arial" w:cs="Arial"/>
          <w:color w:val="000000"/>
          <w:sz w:val="22"/>
          <w:szCs w:val="22"/>
          <w:lang w:eastAsia="zh-CN"/>
        </w:rPr>
        <w:t xml:space="preserve">Différence entre les recettes et les dépenses de fonctionnement en prenant en compte le paiement des intérêts de la dette. </w:t>
      </w:r>
    </w:p>
    <w:p w:rsidR="00B05666" w:rsidRPr="00B05666" w:rsidRDefault="00B05666" w:rsidP="00B05666">
      <w:pPr>
        <w:spacing w:after="0" w:line="240" w:lineRule="auto"/>
        <w:jc w:val="both"/>
        <w:rPr>
          <w:rFonts w:ascii="Arial" w:eastAsia="Arial" w:hAnsi="Arial" w:cs="Arial"/>
          <w:b/>
          <w:bCs/>
          <w:color w:val="000000"/>
          <w:sz w:val="22"/>
          <w:szCs w:val="22"/>
          <w:lang w:eastAsia="zh-CN"/>
        </w:rPr>
      </w:pPr>
    </w:p>
    <w:p w:rsidR="00B05666" w:rsidRPr="00B05666" w:rsidRDefault="00B05666" w:rsidP="00B05666">
      <w:pPr>
        <w:spacing w:after="0" w:line="240" w:lineRule="auto"/>
        <w:jc w:val="both"/>
        <w:rPr>
          <w:rFonts w:ascii="Times New Roman" w:eastAsia="Times New Roman" w:hAnsi="Times New Roman" w:cs="Times New Roman"/>
          <w:sz w:val="22"/>
          <w:szCs w:val="22"/>
          <w:lang w:eastAsia="zh-CN"/>
        </w:rPr>
      </w:pPr>
      <w:r w:rsidRPr="00B05666">
        <w:rPr>
          <w:rFonts w:ascii="Arial" w:eastAsia="Arial" w:hAnsi="Arial" w:cs="Arial"/>
          <w:b/>
          <w:bCs/>
          <w:color w:val="000000"/>
          <w:sz w:val="22"/>
          <w:szCs w:val="22"/>
          <w:lang w:eastAsia="zh-CN"/>
        </w:rPr>
        <w:t>Epargne nette :</w:t>
      </w:r>
      <w:r w:rsidRPr="00B05666">
        <w:rPr>
          <w:rFonts w:ascii="Arial" w:eastAsia="Arial" w:hAnsi="Arial" w:cs="Arial"/>
          <w:color w:val="FFFFFF"/>
          <w:sz w:val="22"/>
          <w:szCs w:val="22"/>
          <w:lang w:eastAsia="zh-CN"/>
        </w:rPr>
        <w:t>_</w:t>
      </w:r>
      <w:r w:rsidRPr="00B05666">
        <w:rPr>
          <w:rFonts w:ascii="Arial" w:eastAsia="Arial" w:hAnsi="Arial" w:cs="Arial"/>
          <w:color w:val="000000"/>
          <w:sz w:val="22"/>
          <w:szCs w:val="22"/>
          <w:lang w:eastAsia="zh-CN"/>
        </w:rPr>
        <w:t>Epargne brute ôtée du remboursement du capital de la dette. L'épargne nette permet de mesurer l'équilibre budgétaire annuel. Une épargne nette négative illustre une santé financière dégradée.</w:t>
      </w:r>
    </w:p>
    <w:p w:rsidR="00B05666" w:rsidRPr="00B05666" w:rsidRDefault="00B05666" w:rsidP="00B05666">
      <w:pPr>
        <w:spacing w:after="0" w:line="240" w:lineRule="auto"/>
        <w:jc w:val="both"/>
        <w:rPr>
          <w:rFonts w:ascii="Arial" w:eastAsia="Times New Roman" w:hAnsi="Arial" w:cs="Arial"/>
          <w:color w:val="000000"/>
          <w:sz w:val="22"/>
          <w:szCs w:val="22"/>
          <w:lang w:eastAsia="zh-CN"/>
        </w:rPr>
      </w:pPr>
    </w:p>
    <w:p w:rsidR="00B05666" w:rsidRPr="00B05666" w:rsidRDefault="00B05666" w:rsidP="00B05666">
      <w:pPr>
        <w:spacing w:after="0" w:line="240" w:lineRule="auto"/>
        <w:jc w:val="both"/>
        <w:rPr>
          <w:rFonts w:ascii="Arial" w:eastAsia="Times New Roman" w:hAnsi="Arial" w:cs="Arial"/>
          <w:color w:val="000000"/>
          <w:sz w:val="22"/>
          <w:szCs w:val="22"/>
          <w:lang w:eastAsia="zh-CN"/>
        </w:rPr>
      </w:pPr>
      <w:r w:rsidRPr="00B05666">
        <w:rPr>
          <w:rFonts w:ascii="Arial" w:eastAsia="Times New Roman" w:hAnsi="Arial" w:cs="Arial"/>
          <w:color w:val="000000"/>
          <w:sz w:val="22"/>
          <w:szCs w:val="22"/>
          <w:lang w:eastAsia="zh-CN"/>
        </w:rPr>
        <w:t>Depuis 2016, les effets des économies réalisées sur l’ensemble des grands postes de dépenses de fonctionnement, complétées dans une moindre mesure par l’actualisation des taux d’imposition, ont permis à la commune de retrouver une marge de manœuvre budgétaire modeste.</w:t>
      </w:r>
    </w:p>
    <w:p w:rsidR="00B05666" w:rsidRPr="00B05666" w:rsidRDefault="00B05666" w:rsidP="00B05666">
      <w:pPr>
        <w:spacing w:after="0" w:line="240" w:lineRule="auto"/>
        <w:jc w:val="both"/>
        <w:rPr>
          <w:rFonts w:ascii="Arial" w:eastAsia="Times New Roman" w:hAnsi="Arial" w:cs="Arial"/>
          <w:color w:val="000000"/>
          <w:sz w:val="22"/>
          <w:szCs w:val="22"/>
          <w:lang w:eastAsia="zh-CN"/>
        </w:rPr>
      </w:pPr>
    </w:p>
    <w:p w:rsidR="00B05666" w:rsidRPr="00B05666" w:rsidRDefault="00B05666" w:rsidP="00B05666">
      <w:pPr>
        <w:spacing w:after="0" w:line="240" w:lineRule="auto"/>
        <w:jc w:val="both"/>
        <w:rPr>
          <w:rFonts w:ascii="Arial" w:eastAsia="Times New Roman" w:hAnsi="Arial" w:cs="Arial"/>
          <w:color w:val="000000"/>
          <w:sz w:val="22"/>
          <w:szCs w:val="22"/>
          <w:lang w:eastAsia="zh-CN"/>
        </w:rPr>
      </w:pPr>
      <w:r w:rsidRPr="00B05666">
        <w:rPr>
          <w:rFonts w:ascii="Arial" w:eastAsia="Times New Roman" w:hAnsi="Arial" w:cs="Arial"/>
          <w:color w:val="000000"/>
          <w:sz w:val="22"/>
          <w:szCs w:val="22"/>
          <w:lang w:eastAsia="zh-CN"/>
        </w:rPr>
        <w:t>Le graphique ci-dessous illustre l’évolution des niveaux d’épargne lors des exercices passés et ce qu’elle pourrait être pour les exercices à venir :</w:t>
      </w:r>
    </w:p>
    <w:p w:rsidR="00B05666" w:rsidRPr="00B05666" w:rsidRDefault="00B05666" w:rsidP="00B05666">
      <w:pPr>
        <w:spacing w:after="0" w:line="240" w:lineRule="auto"/>
        <w:rPr>
          <w:rFonts w:ascii="Arial" w:eastAsia="Times New Roman" w:hAnsi="Arial" w:cs="Arial"/>
          <w:color w:val="000000"/>
          <w:sz w:val="22"/>
          <w:szCs w:val="22"/>
          <w:lang w:eastAsia="zh-CN"/>
        </w:rPr>
      </w:pPr>
      <w:bookmarkStart w:id="13" w:name="__bookmark_18"/>
      <w:bookmarkEnd w:id="13"/>
    </w:p>
    <w:p w:rsidR="00B05666" w:rsidRPr="00B05666" w:rsidRDefault="00B05666" w:rsidP="00B05666">
      <w:pPr>
        <w:spacing w:after="0" w:line="240" w:lineRule="auto"/>
        <w:rPr>
          <w:rFonts w:ascii="Times New Roman" w:eastAsia="Times New Roman" w:hAnsi="Times New Roman" w:cs="Times New Roman"/>
          <w:sz w:val="20"/>
          <w:szCs w:val="20"/>
          <w:lang w:val="en-US" w:eastAsia="zh-CN"/>
        </w:rPr>
      </w:pPr>
      <w:bookmarkStart w:id="14" w:name="__bookmark_19"/>
      <w:bookmarkEnd w:id="14"/>
      <w:r w:rsidRPr="00B05666">
        <w:rPr>
          <w:rFonts w:ascii="Times New Roman" w:eastAsia="Times New Roman" w:hAnsi="Times New Roman" w:cs="Times New Roman"/>
          <w:noProof/>
          <w:sz w:val="20"/>
          <w:szCs w:val="20"/>
          <w:lang w:eastAsia="fr-FR"/>
        </w:rPr>
        <w:lastRenderedPageBreak/>
        <mc:AlternateContent>
          <mc:Choice Requires="wps">
            <w:drawing>
              <wp:anchor distT="0" distB="0" distL="114300" distR="114300" simplePos="0" relativeHeight="251657728" behindDoc="0" locked="0" layoutInCell="1" allowOverlap="1" wp14:anchorId="7514AB8D" wp14:editId="350631E4">
                <wp:simplePos x="0" y="0"/>
                <wp:positionH relativeFrom="column">
                  <wp:posOffset>0</wp:posOffset>
                </wp:positionH>
                <wp:positionV relativeFrom="paragraph">
                  <wp:posOffset>0</wp:posOffset>
                </wp:positionV>
                <wp:extent cx="635000" cy="635000"/>
                <wp:effectExtent l="0" t="0" r="3175" b="3175"/>
                <wp:wrapNone/>
                <wp:docPr id="4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0079E" id="AutoShape 4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EY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8L/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05666">
        <w:rPr>
          <w:rFonts w:ascii="Times New Roman" w:eastAsia="Times New Roman" w:hAnsi="Times New Roman" w:cs="Times New Roman"/>
          <w:noProof/>
          <w:sz w:val="20"/>
          <w:szCs w:val="20"/>
          <w:lang w:eastAsia="fr-FR"/>
        </w:rPr>
        <w:drawing>
          <wp:inline distT="0" distB="0" distL="0" distR="0" wp14:anchorId="49B4C06F" wp14:editId="36473C8A">
            <wp:extent cx="6256115" cy="3476625"/>
            <wp:effectExtent l="0" t="0" r="0" b="0"/>
            <wp:docPr id="24" name="Image 4" descr="ooxWord://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xWord://media/image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9340" cy="3478417"/>
                    </a:xfrm>
                    <a:prstGeom prst="rect">
                      <a:avLst/>
                    </a:prstGeom>
                    <a:noFill/>
                    <a:ln>
                      <a:noFill/>
                    </a:ln>
                  </pic:spPr>
                </pic:pic>
              </a:graphicData>
            </a:graphic>
          </wp:inline>
        </w:drawing>
      </w:r>
    </w:p>
    <w:p w:rsidR="00B05666" w:rsidRPr="00B05666" w:rsidRDefault="00B05666" w:rsidP="00B05666">
      <w:pPr>
        <w:spacing w:after="0" w:line="240" w:lineRule="auto"/>
        <w:rPr>
          <w:rFonts w:ascii="Times New Roman" w:eastAsia="Times New Roman" w:hAnsi="Times New Roman" w:cs="Times New Roman"/>
          <w:color w:val="000000"/>
          <w:sz w:val="20"/>
          <w:szCs w:val="20"/>
          <w:lang w:val="en-US" w:eastAsia="zh-CN"/>
        </w:rPr>
      </w:pPr>
    </w:p>
    <w:tbl>
      <w:tblPr>
        <w:tblW w:w="10545" w:type="dxa"/>
        <w:tblLayout w:type="fixed"/>
        <w:tblCellMar>
          <w:left w:w="0" w:type="dxa"/>
          <w:right w:w="0" w:type="dxa"/>
        </w:tblCellMar>
        <w:tblLook w:val="01E0" w:firstRow="1" w:lastRow="1" w:firstColumn="1" w:lastColumn="1" w:noHBand="0" w:noVBand="0"/>
      </w:tblPr>
      <w:tblGrid>
        <w:gridCol w:w="10545"/>
      </w:tblGrid>
      <w:tr w:rsidR="00B05666" w:rsidRPr="00B05666" w:rsidTr="00F5712A">
        <w:tc>
          <w:tcPr>
            <w:tcW w:w="10545" w:type="dxa"/>
            <w:tcMar>
              <w:top w:w="0" w:type="dxa"/>
              <w:left w:w="0" w:type="dxa"/>
              <w:bottom w:w="0" w:type="dxa"/>
              <w:right w:w="0" w:type="dxa"/>
            </w:tcMar>
            <w:vAlign w:val="center"/>
          </w:tcPr>
          <w:p w:rsidR="00B05666" w:rsidRPr="00B05666" w:rsidRDefault="00B05666" w:rsidP="00B05666">
            <w:pPr>
              <w:spacing w:after="0" w:line="240" w:lineRule="auto"/>
              <w:jc w:val="both"/>
              <w:rPr>
                <w:rFonts w:ascii="Arial" w:eastAsia="Times New Roman" w:hAnsi="Arial" w:cs="Arial"/>
                <w:b/>
                <w:bCs/>
                <w:sz w:val="22"/>
                <w:szCs w:val="22"/>
                <w:u w:val="single"/>
                <w:lang w:val="en-US" w:eastAsia="zh-CN"/>
              </w:rPr>
            </w:pPr>
            <w:bookmarkStart w:id="15" w:name="__bookmark_20"/>
            <w:bookmarkEnd w:id="15"/>
          </w:p>
          <w:p w:rsidR="00B05666" w:rsidRPr="00B05666" w:rsidRDefault="00B05666" w:rsidP="00B05666">
            <w:pPr>
              <w:spacing w:after="0" w:line="240" w:lineRule="auto"/>
              <w:jc w:val="both"/>
              <w:rPr>
                <w:rFonts w:ascii="Arial" w:eastAsia="Times New Roman" w:hAnsi="Arial" w:cs="Arial"/>
                <w:b/>
                <w:bCs/>
                <w:sz w:val="22"/>
                <w:szCs w:val="22"/>
                <w:u w:val="single"/>
                <w:lang w:val="en-US" w:eastAsia="zh-CN"/>
              </w:rPr>
            </w:pPr>
            <w:r w:rsidRPr="00B05666">
              <w:rPr>
                <w:rFonts w:ascii="Arial" w:eastAsia="Times New Roman" w:hAnsi="Arial" w:cs="Arial"/>
                <w:b/>
                <w:bCs/>
                <w:sz w:val="22"/>
                <w:szCs w:val="22"/>
                <w:u w:val="single"/>
                <w:lang w:val="en-US" w:eastAsia="zh-CN"/>
              </w:rPr>
              <w:t>L’épargne brute</w:t>
            </w:r>
          </w:p>
          <w:p w:rsidR="00B05666" w:rsidRPr="00B05666" w:rsidRDefault="00B05666" w:rsidP="00B05666">
            <w:pPr>
              <w:spacing w:after="0" w:line="1" w:lineRule="auto"/>
              <w:jc w:val="both"/>
              <w:rPr>
                <w:rFonts w:ascii="Times New Roman" w:eastAsia="Times New Roman" w:hAnsi="Times New Roman" w:cs="Times New Roman"/>
                <w:sz w:val="22"/>
                <w:szCs w:val="22"/>
                <w:lang w:val="en-US" w:eastAsia="zh-CN"/>
              </w:rPr>
            </w:pPr>
          </w:p>
        </w:tc>
      </w:tr>
    </w:tbl>
    <w:p w:rsidR="00B05666" w:rsidRPr="00B05666" w:rsidRDefault="00B05666" w:rsidP="00B05666">
      <w:pPr>
        <w:spacing w:after="0" w:line="240" w:lineRule="auto"/>
        <w:jc w:val="both"/>
        <w:rPr>
          <w:rFonts w:ascii="Times New Roman" w:eastAsia="Times New Roman" w:hAnsi="Times New Roman" w:cs="Times New Roman"/>
          <w:color w:val="000000"/>
          <w:sz w:val="22"/>
          <w:szCs w:val="22"/>
          <w:lang w:val="en-US" w:eastAsia="zh-CN"/>
        </w:rPr>
      </w:pPr>
    </w:p>
    <w:p w:rsidR="00B05666" w:rsidRPr="00B05666" w:rsidRDefault="00B05666" w:rsidP="00B05666">
      <w:pPr>
        <w:spacing w:after="0" w:line="240" w:lineRule="auto"/>
        <w:jc w:val="both"/>
        <w:rPr>
          <w:rFonts w:ascii="Times New Roman" w:eastAsia="Times New Roman" w:hAnsi="Times New Roman" w:cs="Times New Roman"/>
          <w:sz w:val="22"/>
          <w:szCs w:val="22"/>
          <w:lang w:eastAsia="zh-CN"/>
        </w:rPr>
      </w:pPr>
      <w:r w:rsidRPr="00B05666">
        <w:rPr>
          <w:rFonts w:ascii="Arial" w:eastAsia="Arial" w:hAnsi="Arial" w:cs="Arial"/>
          <w:b/>
          <w:bCs/>
          <w:color w:val="000000"/>
          <w:sz w:val="22"/>
          <w:szCs w:val="22"/>
          <w:lang w:eastAsia="zh-CN"/>
        </w:rPr>
        <w:t>Epargne brute :</w:t>
      </w:r>
      <w:r w:rsidRPr="00B05666">
        <w:rPr>
          <w:rFonts w:ascii="Arial" w:eastAsia="Arial" w:hAnsi="Arial" w:cs="Arial"/>
          <w:color w:val="FFFFFF"/>
          <w:sz w:val="22"/>
          <w:szCs w:val="22"/>
          <w:lang w:eastAsia="zh-CN"/>
        </w:rPr>
        <w:t xml:space="preserve"> </w:t>
      </w:r>
      <w:r w:rsidRPr="00B05666">
        <w:rPr>
          <w:rFonts w:ascii="Arial" w:eastAsia="Arial" w:hAnsi="Arial" w:cs="Arial"/>
          <w:color w:val="000000"/>
          <w:sz w:val="22"/>
          <w:szCs w:val="22"/>
          <w:lang w:eastAsia="zh-CN"/>
        </w:rPr>
        <w:t>C'est l'écart entre les recettes de fonctionnement et les dépenses de fonctionnement. L'excédent, appelé aussi autofinancement brut, finance la section d'investissement et doit être supérieur ou égal au remboursement du capital de la dette, ce qui est ici le cas.</w:t>
      </w:r>
    </w:p>
    <w:p w:rsidR="00B05666" w:rsidRPr="00B05666" w:rsidRDefault="00B05666" w:rsidP="00B05666">
      <w:pPr>
        <w:spacing w:after="0" w:line="240" w:lineRule="auto"/>
        <w:jc w:val="both"/>
        <w:rPr>
          <w:rFonts w:ascii="Times New Roman" w:eastAsia="Times New Roman" w:hAnsi="Times New Roman" w:cs="Times New Roman"/>
          <w:color w:val="000000"/>
          <w:sz w:val="22"/>
          <w:szCs w:val="22"/>
          <w:lang w:eastAsia="zh-CN"/>
        </w:rPr>
      </w:pPr>
    </w:p>
    <w:p w:rsidR="00B05666" w:rsidRPr="00B05666" w:rsidRDefault="00B05666" w:rsidP="00B05666">
      <w:pPr>
        <w:spacing w:after="0" w:line="240" w:lineRule="auto"/>
        <w:jc w:val="both"/>
        <w:rPr>
          <w:rFonts w:ascii="Arial" w:eastAsia="Arial" w:hAnsi="Arial" w:cs="Arial"/>
          <w:color w:val="000000"/>
          <w:sz w:val="22"/>
          <w:szCs w:val="22"/>
          <w:lang w:eastAsia="zh-CN"/>
        </w:rPr>
      </w:pPr>
      <w:r w:rsidRPr="00B05666">
        <w:rPr>
          <w:rFonts w:ascii="Arial" w:eastAsia="Arial" w:hAnsi="Arial" w:cs="Arial"/>
          <w:color w:val="000000"/>
          <w:sz w:val="22"/>
          <w:szCs w:val="22"/>
          <w:lang w:eastAsia="zh-CN"/>
        </w:rPr>
        <w:t>Le taux d'épargne brute est la valorisation en pourcentage de l'épargne brute.</w:t>
      </w:r>
    </w:p>
    <w:p w:rsidR="00B05666" w:rsidRPr="00B05666" w:rsidRDefault="00B05666" w:rsidP="00B05666">
      <w:pPr>
        <w:spacing w:after="0" w:line="240" w:lineRule="auto"/>
        <w:rPr>
          <w:rFonts w:ascii="Arial" w:eastAsia="Arial" w:hAnsi="Arial" w:cs="Arial"/>
          <w:color w:val="000000"/>
          <w:sz w:val="22"/>
          <w:szCs w:val="22"/>
          <w:lang w:eastAsia="zh-CN"/>
        </w:rPr>
      </w:pPr>
    </w:p>
    <w:p w:rsidR="00B05666" w:rsidRPr="00B05666" w:rsidRDefault="00B05666" w:rsidP="00B05666">
      <w:pPr>
        <w:spacing w:after="0" w:line="240" w:lineRule="auto"/>
        <w:jc w:val="both"/>
        <w:rPr>
          <w:rFonts w:ascii="Times New Roman" w:eastAsia="Times New Roman" w:hAnsi="Times New Roman" w:cs="Times New Roman"/>
          <w:sz w:val="22"/>
          <w:szCs w:val="22"/>
          <w:lang w:eastAsia="zh-CN"/>
        </w:rPr>
      </w:pPr>
      <w:r w:rsidRPr="00B05666">
        <w:rPr>
          <w:rFonts w:ascii="Arial" w:eastAsia="Arial" w:hAnsi="Arial" w:cs="Arial"/>
          <w:color w:val="000000"/>
          <w:sz w:val="22"/>
          <w:szCs w:val="22"/>
          <w:lang w:eastAsia="zh-CN"/>
        </w:rPr>
        <w:t>Le graphique suivant illustre l’évolution de l’épargne brute et du taux d’épargne brute.</w:t>
      </w:r>
    </w:p>
    <w:p w:rsidR="00B05666" w:rsidRPr="00B05666" w:rsidRDefault="00B05666" w:rsidP="00B05666">
      <w:pPr>
        <w:spacing w:after="0" w:line="240" w:lineRule="auto"/>
        <w:rPr>
          <w:rFonts w:ascii="Times New Roman" w:eastAsia="Times New Roman" w:hAnsi="Times New Roman" w:cs="Times New Roman"/>
          <w:color w:val="000000"/>
          <w:sz w:val="22"/>
          <w:szCs w:val="22"/>
          <w:lang w:eastAsia="zh-CN"/>
        </w:rPr>
      </w:pPr>
    </w:p>
    <w:p w:rsidR="00B05666" w:rsidRPr="00B05666" w:rsidRDefault="00B05666" w:rsidP="00B05666">
      <w:pPr>
        <w:spacing w:after="0" w:line="240" w:lineRule="auto"/>
        <w:rPr>
          <w:rFonts w:ascii="Times New Roman" w:eastAsia="Times New Roman" w:hAnsi="Times New Roman" w:cs="Times New Roman"/>
          <w:sz w:val="20"/>
          <w:szCs w:val="20"/>
          <w:lang w:val="en-US" w:eastAsia="zh-CN"/>
        </w:rPr>
      </w:pPr>
      <w:bookmarkStart w:id="16" w:name="__bookmark_21"/>
      <w:bookmarkEnd w:id="16"/>
      <w:r w:rsidRPr="00B05666">
        <w:rPr>
          <w:rFonts w:ascii="Times New Roman" w:eastAsia="Times New Roman" w:hAnsi="Times New Roman" w:cs="Times New Roman"/>
          <w:noProof/>
          <w:sz w:val="20"/>
          <w:szCs w:val="20"/>
          <w:lang w:eastAsia="fr-FR"/>
        </w:rPr>
        <w:drawing>
          <wp:inline distT="0" distB="0" distL="0" distR="0" wp14:anchorId="65EA4848" wp14:editId="67E3DD4D">
            <wp:extent cx="6209592" cy="3019425"/>
            <wp:effectExtent l="0" t="0" r="1270" b="0"/>
            <wp:docPr id="5" name="Image 5" descr="ooxWord://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xWord://media/image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1186" cy="3025063"/>
                    </a:xfrm>
                    <a:prstGeom prst="rect">
                      <a:avLst/>
                    </a:prstGeom>
                    <a:noFill/>
                    <a:ln>
                      <a:noFill/>
                    </a:ln>
                  </pic:spPr>
                </pic:pic>
              </a:graphicData>
            </a:graphic>
          </wp:inline>
        </w:drawing>
      </w:r>
      <w:r w:rsidRPr="00B05666">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8752" behindDoc="0" locked="0" layoutInCell="1" allowOverlap="1" wp14:anchorId="2BADC970" wp14:editId="451587D5">
                <wp:simplePos x="0" y="0"/>
                <wp:positionH relativeFrom="column">
                  <wp:posOffset>0</wp:posOffset>
                </wp:positionH>
                <wp:positionV relativeFrom="paragraph">
                  <wp:posOffset>0</wp:posOffset>
                </wp:positionV>
                <wp:extent cx="635000" cy="635000"/>
                <wp:effectExtent l="0" t="0" r="3175" b="3175"/>
                <wp:wrapNone/>
                <wp:docPr id="4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FAB87" id="AutoShape 3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dJ1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SviyC6AgAA0QUA&#10;AA4AAAAAAAAAAAAAAAAALgIAAGRycy9lMm9Eb2MueG1sUEsBAi0AFAAGAAgAAAAhAIZbh9XYAAAA&#10;BQEAAA8AAAAAAAAAAAAAAAAAFAUAAGRycy9kb3ducmV2LnhtbFBLBQYAAAAABAAEAPMAAAAZBgAA&#10;AAA=&#10;" filled="f" stroked="f">
                <o:lock v:ext="edit" aspectratio="t" selection="t"/>
              </v:rect>
            </w:pict>
          </mc:Fallback>
        </mc:AlternateContent>
      </w:r>
    </w:p>
    <w:tbl>
      <w:tblPr>
        <w:tblW w:w="10545" w:type="dxa"/>
        <w:tblLayout w:type="fixed"/>
        <w:tblCellMar>
          <w:left w:w="0" w:type="dxa"/>
          <w:right w:w="0" w:type="dxa"/>
        </w:tblCellMar>
        <w:tblLook w:val="01E0" w:firstRow="1" w:lastRow="1" w:firstColumn="1" w:lastColumn="1" w:noHBand="0" w:noVBand="0"/>
      </w:tblPr>
      <w:tblGrid>
        <w:gridCol w:w="10545"/>
      </w:tblGrid>
      <w:tr w:rsidR="00B05666" w:rsidRPr="00B05666" w:rsidTr="00F5712A">
        <w:tc>
          <w:tcPr>
            <w:tcW w:w="10545" w:type="dxa"/>
            <w:tcMar>
              <w:top w:w="0" w:type="dxa"/>
              <w:left w:w="0" w:type="dxa"/>
              <w:bottom w:w="0" w:type="dxa"/>
              <w:right w:w="0" w:type="dxa"/>
            </w:tcMar>
            <w:vAlign w:val="center"/>
          </w:tcPr>
          <w:p w:rsidR="00B05666" w:rsidRDefault="00B05666" w:rsidP="00B05666">
            <w:pPr>
              <w:spacing w:after="0" w:line="240" w:lineRule="auto"/>
              <w:jc w:val="both"/>
              <w:rPr>
                <w:rFonts w:ascii="Arial" w:eastAsia="Times New Roman" w:hAnsi="Arial" w:cs="Arial"/>
                <w:b/>
                <w:bCs/>
                <w:sz w:val="22"/>
                <w:szCs w:val="22"/>
                <w:u w:val="single"/>
                <w:lang w:val="en-US" w:eastAsia="zh-CN"/>
              </w:rPr>
            </w:pPr>
            <w:bookmarkStart w:id="17" w:name="__bookmark_23"/>
            <w:bookmarkEnd w:id="17"/>
          </w:p>
          <w:p w:rsidR="0081123C" w:rsidRDefault="0081123C" w:rsidP="00B05666">
            <w:pPr>
              <w:spacing w:after="0" w:line="240" w:lineRule="auto"/>
              <w:jc w:val="both"/>
              <w:rPr>
                <w:rFonts w:ascii="Arial" w:eastAsia="Times New Roman" w:hAnsi="Arial" w:cs="Arial"/>
                <w:b/>
                <w:bCs/>
                <w:sz w:val="22"/>
                <w:szCs w:val="22"/>
                <w:u w:val="single"/>
                <w:lang w:val="en-US" w:eastAsia="zh-CN"/>
              </w:rPr>
            </w:pPr>
          </w:p>
          <w:p w:rsidR="002178D5" w:rsidRDefault="002178D5" w:rsidP="00B05666">
            <w:pPr>
              <w:spacing w:after="0" w:line="240" w:lineRule="auto"/>
              <w:jc w:val="both"/>
              <w:rPr>
                <w:rFonts w:ascii="Arial" w:eastAsia="Times New Roman" w:hAnsi="Arial" w:cs="Arial"/>
                <w:b/>
                <w:bCs/>
                <w:sz w:val="22"/>
                <w:szCs w:val="22"/>
                <w:u w:val="single"/>
                <w:lang w:val="en-US" w:eastAsia="zh-CN"/>
              </w:rPr>
            </w:pPr>
          </w:p>
          <w:p w:rsidR="002178D5" w:rsidRDefault="002178D5" w:rsidP="00B05666">
            <w:pPr>
              <w:spacing w:after="0" w:line="240" w:lineRule="auto"/>
              <w:jc w:val="both"/>
              <w:rPr>
                <w:rFonts w:ascii="Arial" w:eastAsia="Times New Roman" w:hAnsi="Arial" w:cs="Arial"/>
                <w:b/>
                <w:bCs/>
                <w:sz w:val="22"/>
                <w:szCs w:val="22"/>
                <w:u w:val="single"/>
                <w:lang w:val="en-US" w:eastAsia="zh-CN"/>
              </w:rPr>
            </w:pPr>
          </w:p>
          <w:p w:rsidR="002178D5" w:rsidRDefault="002178D5" w:rsidP="00B05666">
            <w:pPr>
              <w:spacing w:after="0" w:line="240" w:lineRule="auto"/>
              <w:jc w:val="both"/>
              <w:rPr>
                <w:rFonts w:ascii="Arial" w:eastAsia="Times New Roman" w:hAnsi="Arial" w:cs="Arial"/>
                <w:b/>
                <w:bCs/>
                <w:sz w:val="22"/>
                <w:szCs w:val="22"/>
                <w:u w:val="single"/>
                <w:lang w:val="en-US" w:eastAsia="zh-CN"/>
              </w:rPr>
            </w:pPr>
          </w:p>
          <w:p w:rsidR="00B05666" w:rsidRPr="00B05666" w:rsidRDefault="00B05666" w:rsidP="00B05666">
            <w:pPr>
              <w:spacing w:after="0" w:line="240" w:lineRule="auto"/>
              <w:jc w:val="both"/>
              <w:rPr>
                <w:rFonts w:ascii="Arial" w:eastAsia="Times New Roman" w:hAnsi="Arial" w:cs="Arial"/>
                <w:b/>
                <w:bCs/>
                <w:sz w:val="22"/>
                <w:szCs w:val="22"/>
                <w:u w:val="single"/>
                <w:lang w:val="en-US" w:eastAsia="zh-CN"/>
              </w:rPr>
            </w:pPr>
          </w:p>
          <w:p w:rsidR="00B05666" w:rsidRPr="00B05666" w:rsidRDefault="00B05666" w:rsidP="00B05666">
            <w:pPr>
              <w:spacing w:after="0" w:line="240" w:lineRule="auto"/>
              <w:jc w:val="both"/>
              <w:rPr>
                <w:rFonts w:ascii="Arial" w:eastAsia="Times New Roman" w:hAnsi="Arial" w:cs="Arial"/>
                <w:b/>
                <w:bCs/>
                <w:sz w:val="22"/>
                <w:szCs w:val="22"/>
                <w:u w:val="single"/>
                <w:lang w:val="en-US" w:eastAsia="zh-CN"/>
              </w:rPr>
            </w:pPr>
            <w:r w:rsidRPr="00B05666">
              <w:rPr>
                <w:rFonts w:ascii="Arial" w:eastAsia="Times New Roman" w:hAnsi="Arial" w:cs="Arial"/>
                <w:b/>
                <w:bCs/>
                <w:sz w:val="22"/>
                <w:szCs w:val="22"/>
                <w:u w:val="single"/>
                <w:lang w:val="en-US" w:eastAsia="zh-CN"/>
              </w:rPr>
              <w:lastRenderedPageBreak/>
              <w:t>L’effet de ciseau</w:t>
            </w:r>
          </w:p>
          <w:p w:rsidR="00B05666" w:rsidRPr="00B05666" w:rsidRDefault="00B05666" w:rsidP="00B05666">
            <w:pPr>
              <w:spacing w:after="0" w:line="1" w:lineRule="auto"/>
              <w:jc w:val="both"/>
              <w:rPr>
                <w:rFonts w:ascii="Times New Roman" w:eastAsia="Times New Roman" w:hAnsi="Times New Roman" w:cs="Times New Roman"/>
                <w:sz w:val="22"/>
                <w:szCs w:val="22"/>
                <w:lang w:val="en-US" w:eastAsia="zh-CN"/>
              </w:rPr>
            </w:pPr>
          </w:p>
        </w:tc>
      </w:tr>
    </w:tbl>
    <w:p w:rsidR="00B05666" w:rsidRPr="00B05666" w:rsidRDefault="00B05666" w:rsidP="00B05666">
      <w:pPr>
        <w:spacing w:after="0" w:line="240" w:lineRule="auto"/>
        <w:jc w:val="both"/>
        <w:rPr>
          <w:rFonts w:ascii="Times New Roman" w:eastAsia="Times New Roman" w:hAnsi="Times New Roman" w:cs="Times New Roman"/>
          <w:sz w:val="22"/>
          <w:szCs w:val="22"/>
          <w:lang w:val="en-US" w:eastAsia="zh-CN"/>
        </w:rPr>
      </w:pPr>
    </w:p>
    <w:p w:rsidR="00B05666" w:rsidRPr="00B05666" w:rsidRDefault="00B05666" w:rsidP="00B05666">
      <w:pPr>
        <w:spacing w:after="0" w:line="240" w:lineRule="auto"/>
        <w:jc w:val="both"/>
        <w:rPr>
          <w:rFonts w:ascii="Times New Roman" w:eastAsia="Times New Roman" w:hAnsi="Times New Roman" w:cs="Times New Roman"/>
          <w:sz w:val="22"/>
          <w:szCs w:val="22"/>
          <w:lang w:eastAsia="zh-CN"/>
        </w:rPr>
      </w:pPr>
      <w:r w:rsidRPr="00B05666">
        <w:rPr>
          <w:rFonts w:ascii="Arial" w:eastAsia="Arial" w:hAnsi="Arial" w:cs="Arial"/>
          <w:b/>
          <w:bCs/>
          <w:color w:val="000000"/>
          <w:sz w:val="22"/>
          <w:szCs w:val="22"/>
          <w:lang w:eastAsia="zh-CN"/>
        </w:rPr>
        <w:t>Effet de ciseau :</w:t>
      </w:r>
      <w:r w:rsidRPr="00B05666">
        <w:rPr>
          <w:rFonts w:ascii="Arial" w:eastAsia="Arial" w:hAnsi="Arial" w:cs="Arial"/>
          <w:color w:val="FFFFFF"/>
          <w:sz w:val="22"/>
          <w:szCs w:val="22"/>
          <w:lang w:eastAsia="zh-CN"/>
        </w:rPr>
        <w:t>_</w:t>
      </w:r>
      <w:r w:rsidRPr="00B05666">
        <w:rPr>
          <w:rFonts w:ascii="Arial" w:eastAsia="Arial" w:hAnsi="Arial" w:cs="Arial"/>
          <w:color w:val="000000"/>
          <w:sz w:val="22"/>
          <w:szCs w:val="22"/>
          <w:lang w:eastAsia="zh-CN"/>
        </w:rPr>
        <w:t>Evolution de l'écart entre les recettes de fonctionnement et les dépenses de fonctionnement.</w:t>
      </w:r>
    </w:p>
    <w:p w:rsidR="00B05666" w:rsidRPr="00B05666" w:rsidRDefault="00B05666" w:rsidP="00B05666">
      <w:pPr>
        <w:spacing w:after="0" w:line="240" w:lineRule="auto"/>
        <w:jc w:val="both"/>
        <w:rPr>
          <w:rFonts w:ascii="Arial" w:eastAsia="Arial" w:hAnsi="Arial" w:cs="Arial"/>
          <w:color w:val="000000"/>
          <w:sz w:val="22"/>
          <w:szCs w:val="22"/>
          <w:lang w:eastAsia="zh-CN"/>
        </w:rPr>
      </w:pPr>
      <w:r w:rsidRPr="00B05666">
        <w:rPr>
          <w:rFonts w:ascii="Arial" w:eastAsia="Arial" w:hAnsi="Arial" w:cs="Arial"/>
          <w:color w:val="000000"/>
          <w:sz w:val="22"/>
          <w:szCs w:val="22"/>
          <w:lang w:eastAsia="zh-CN"/>
        </w:rPr>
        <w:t>La comparaison de l'évolution des courbes de recettes et de dépenses de fonctionnement alerte sur la dégradation de l'épargne et sur les risques de l'effet de ciseau.</w:t>
      </w:r>
    </w:p>
    <w:p w:rsidR="00B05666" w:rsidRPr="00B05666" w:rsidRDefault="00B05666" w:rsidP="00B05666">
      <w:pPr>
        <w:spacing w:after="0" w:line="240" w:lineRule="auto"/>
        <w:jc w:val="both"/>
        <w:rPr>
          <w:rFonts w:ascii="Arial" w:eastAsia="Arial" w:hAnsi="Arial" w:cs="Arial"/>
          <w:color w:val="000000"/>
          <w:sz w:val="22"/>
          <w:szCs w:val="22"/>
          <w:lang w:eastAsia="zh-CN"/>
        </w:rPr>
      </w:pPr>
    </w:p>
    <w:p w:rsidR="00B05666" w:rsidRPr="00B05666" w:rsidRDefault="00B05666" w:rsidP="00B05666">
      <w:pPr>
        <w:spacing w:after="0" w:line="240" w:lineRule="auto"/>
        <w:jc w:val="both"/>
        <w:rPr>
          <w:rFonts w:ascii="Times New Roman" w:eastAsia="Times New Roman" w:hAnsi="Times New Roman" w:cs="Times New Roman"/>
          <w:sz w:val="22"/>
          <w:szCs w:val="22"/>
          <w:lang w:eastAsia="zh-CN"/>
        </w:rPr>
      </w:pPr>
      <w:r w:rsidRPr="00B05666">
        <w:rPr>
          <w:rFonts w:ascii="Arial" w:eastAsia="Arial" w:hAnsi="Arial" w:cs="Arial"/>
          <w:color w:val="000000"/>
          <w:sz w:val="22"/>
          <w:szCs w:val="22"/>
          <w:lang w:eastAsia="zh-CN"/>
        </w:rPr>
        <w:t>Le graphique ci-dessous illustre l'effet de ciseau. Il met en évidence la dynamique des recettes par rapport à la dynamique des dépenses. L’écart entre recettes et dépenses ainsi établi nourrit la section d'investissement. Il permet alors de financer les dépenses d’investissement ou de se désendetter. Ce graphique illustre aussi, comme ceux portant sur les niveaux d’épargne, la marge de manœuvre budgétaire modeste retrouvée à la suite des économies réalisées en fonctionnement.</w:t>
      </w:r>
    </w:p>
    <w:p w:rsidR="00B05666" w:rsidRPr="00B05666" w:rsidRDefault="00B05666" w:rsidP="00B05666">
      <w:pPr>
        <w:spacing w:after="0" w:line="240" w:lineRule="auto"/>
        <w:jc w:val="both"/>
        <w:rPr>
          <w:rFonts w:ascii="Times New Roman" w:eastAsia="Times New Roman" w:hAnsi="Times New Roman" w:cs="Times New Roman"/>
          <w:color w:val="000000"/>
          <w:sz w:val="22"/>
          <w:szCs w:val="22"/>
          <w:lang w:eastAsia="zh-CN"/>
        </w:rPr>
      </w:pPr>
    </w:p>
    <w:p w:rsidR="00B05666" w:rsidRPr="00B05666" w:rsidRDefault="00B05666" w:rsidP="00B05666">
      <w:pPr>
        <w:spacing w:after="0" w:line="240" w:lineRule="auto"/>
        <w:rPr>
          <w:rFonts w:ascii="Times New Roman" w:eastAsia="Times New Roman" w:hAnsi="Times New Roman" w:cs="Times New Roman"/>
          <w:sz w:val="20"/>
          <w:szCs w:val="20"/>
          <w:lang w:val="en-US" w:eastAsia="zh-CN"/>
        </w:rPr>
      </w:pPr>
      <w:bookmarkStart w:id="18" w:name="__bookmark_25"/>
      <w:bookmarkEnd w:id="18"/>
      <w:r w:rsidRPr="00B05666">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9776" behindDoc="0" locked="0" layoutInCell="1" allowOverlap="1" wp14:anchorId="6608CE6B" wp14:editId="7AE3C91E">
                <wp:simplePos x="0" y="0"/>
                <wp:positionH relativeFrom="column">
                  <wp:posOffset>0</wp:posOffset>
                </wp:positionH>
                <wp:positionV relativeFrom="paragraph">
                  <wp:posOffset>0</wp:posOffset>
                </wp:positionV>
                <wp:extent cx="635000" cy="635000"/>
                <wp:effectExtent l="0" t="0" r="3175" b="3175"/>
                <wp:wrapNone/>
                <wp:docPr id="4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5FD12" id="AutoShape 3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pQ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fwp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05666">
        <w:rPr>
          <w:rFonts w:ascii="Times New Roman" w:eastAsia="Times New Roman" w:hAnsi="Times New Roman" w:cs="Times New Roman"/>
          <w:noProof/>
          <w:sz w:val="20"/>
          <w:szCs w:val="20"/>
          <w:lang w:eastAsia="fr-FR"/>
        </w:rPr>
        <w:drawing>
          <wp:inline distT="0" distB="0" distL="0" distR="0" wp14:anchorId="0FA77378" wp14:editId="260587E8">
            <wp:extent cx="6248769" cy="3038475"/>
            <wp:effectExtent l="0" t="0" r="0" b="0"/>
            <wp:docPr id="6" name="Image 6" descr="ooxWord://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oxWord://media/image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2769" cy="3045282"/>
                    </a:xfrm>
                    <a:prstGeom prst="rect">
                      <a:avLst/>
                    </a:prstGeom>
                    <a:noFill/>
                    <a:ln>
                      <a:noFill/>
                    </a:ln>
                  </pic:spPr>
                </pic:pic>
              </a:graphicData>
            </a:graphic>
          </wp:inline>
        </w:drawing>
      </w:r>
    </w:p>
    <w:p w:rsidR="000E644E" w:rsidRPr="00F5712A" w:rsidRDefault="000E644E" w:rsidP="0081123C">
      <w:pPr>
        <w:spacing w:after="0"/>
        <w:jc w:val="both"/>
        <w:rPr>
          <w:rFonts w:ascii="Arial" w:hAnsi="Arial" w:cs="Arial"/>
          <w:i/>
          <w:sz w:val="22"/>
          <w:szCs w:val="22"/>
        </w:rPr>
      </w:pPr>
    </w:p>
    <w:p w:rsidR="00A93F33" w:rsidRPr="00F5712A" w:rsidRDefault="00F5712A" w:rsidP="0081123C">
      <w:pPr>
        <w:spacing w:after="0"/>
        <w:jc w:val="both"/>
        <w:rPr>
          <w:rFonts w:ascii="Arial" w:hAnsi="Arial" w:cs="Arial"/>
          <w:i/>
          <w:sz w:val="22"/>
          <w:szCs w:val="22"/>
        </w:rPr>
      </w:pPr>
      <w:r w:rsidRPr="00F5712A">
        <w:rPr>
          <w:rFonts w:ascii="Arial" w:hAnsi="Arial" w:cs="Arial"/>
          <w:i/>
          <w:sz w:val="22"/>
          <w:szCs w:val="22"/>
        </w:rPr>
        <w:t>Daniel ROBERT-CHARRERAU présente les recettes de la section d’investissement.</w:t>
      </w:r>
    </w:p>
    <w:p w:rsidR="00A93F33" w:rsidRDefault="00A93F33" w:rsidP="0081123C">
      <w:pPr>
        <w:spacing w:after="0"/>
        <w:jc w:val="both"/>
        <w:rPr>
          <w:rFonts w:ascii="Arial" w:hAnsi="Arial" w:cs="Arial"/>
          <w:sz w:val="22"/>
          <w:szCs w:val="22"/>
        </w:rPr>
      </w:pPr>
    </w:p>
    <w:p w:rsidR="00F5712A" w:rsidRPr="00F5712A" w:rsidRDefault="00F5712A" w:rsidP="0081123C">
      <w:pPr>
        <w:spacing w:after="0" w:line="240" w:lineRule="auto"/>
        <w:jc w:val="both"/>
        <w:rPr>
          <w:rFonts w:ascii="Arial" w:eastAsia="Arial" w:hAnsi="Arial" w:cs="Arial"/>
          <w:b/>
          <w:bCs/>
          <w:color w:val="000000"/>
          <w:sz w:val="22"/>
          <w:szCs w:val="22"/>
          <w:lang w:eastAsia="zh-CN"/>
        </w:rPr>
      </w:pPr>
      <w:r w:rsidRPr="00F5712A">
        <w:rPr>
          <w:rFonts w:ascii="Arial" w:eastAsia="Arial" w:hAnsi="Arial" w:cs="Arial"/>
          <w:b/>
          <w:bCs/>
          <w:color w:val="000000"/>
          <w:sz w:val="22"/>
          <w:szCs w:val="22"/>
          <w:lang w:eastAsia="zh-CN"/>
        </w:rPr>
        <w:t>Les hypothèses pour les principales recettes d’investissement :</w:t>
      </w:r>
    </w:p>
    <w:p w:rsidR="00F5712A" w:rsidRPr="00F5712A" w:rsidRDefault="00F5712A" w:rsidP="0081123C">
      <w:pPr>
        <w:spacing w:after="0" w:line="240" w:lineRule="auto"/>
        <w:ind w:firstLine="708"/>
        <w:jc w:val="both"/>
        <w:rPr>
          <w:rFonts w:ascii="Times New Roman" w:eastAsia="Times New Roman" w:hAnsi="Times New Roman" w:cs="Times New Roman"/>
          <w:sz w:val="22"/>
          <w:szCs w:val="22"/>
          <w:lang w:eastAsia="zh-CN"/>
        </w:rPr>
      </w:pPr>
    </w:p>
    <w:p w:rsidR="00F5712A" w:rsidRPr="00F5712A" w:rsidRDefault="00F5712A" w:rsidP="00F5712A">
      <w:pPr>
        <w:spacing w:after="0" w:line="240" w:lineRule="auto"/>
        <w:jc w:val="both"/>
        <w:rPr>
          <w:rFonts w:ascii="Arial" w:eastAsia="Times New Roman" w:hAnsi="Arial" w:cs="Arial"/>
          <w:b/>
          <w:sz w:val="22"/>
          <w:szCs w:val="22"/>
          <w:lang w:eastAsia="fr-FR"/>
        </w:rPr>
      </w:pPr>
      <w:r w:rsidRPr="00F5712A">
        <w:rPr>
          <w:rFonts w:ascii="Arial" w:eastAsia="Times New Roman" w:hAnsi="Arial" w:cs="Arial"/>
          <w:b/>
          <w:sz w:val="22"/>
          <w:szCs w:val="22"/>
          <w:lang w:eastAsia="fr-FR"/>
        </w:rPr>
        <w:t>Fonds de compensation de la taxe sur la valeur ajoutée (FCTVA) :</w:t>
      </w:r>
    </w:p>
    <w:p w:rsidR="00F5712A" w:rsidRPr="00F5712A" w:rsidRDefault="00F5712A" w:rsidP="00F5712A">
      <w:pPr>
        <w:spacing w:after="0" w:line="240" w:lineRule="auto"/>
        <w:jc w:val="both"/>
        <w:rPr>
          <w:rFonts w:ascii="Arial" w:eastAsia="Times New Roman" w:hAnsi="Arial" w:cs="Arial"/>
          <w:sz w:val="22"/>
          <w:szCs w:val="22"/>
          <w:lang w:eastAsia="fr-FR"/>
        </w:rPr>
      </w:pPr>
      <w:r w:rsidRPr="00F5712A">
        <w:rPr>
          <w:rFonts w:ascii="Arial" w:eastAsia="Times New Roman" w:hAnsi="Arial" w:cs="Arial"/>
          <w:sz w:val="22"/>
          <w:szCs w:val="22"/>
          <w:lang w:eastAsia="fr-FR"/>
        </w:rPr>
        <w:t>La recette en provenance du FCTVA est estimée en 2019 à partir des investissements éligibles réalisés en 2018. Il en est de même pour les exercices suivants.</w:t>
      </w:r>
    </w:p>
    <w:p w:rsidR="00F5712A" w:rsidRPr="00F5712A" w:rsidRDefault="00F5712A" w:rsidP="00F5712A">
      <w:pPr>
        <w:spacing w:after="0" w:line="240" w:lineRule="auto"/>
        <w:jc w:val="both"/>
        <w:rPr>
          <w:rFonts w:ascii="Arial" w:eastAsia="Times New Roman" w:hAnsi="Arial" w:cs="Arial"/>
          <w:sz w:val="22"/>
          <w:szCs w:val="22"/>
          <w:lang w:eastAsia="fr-FR"/>
        </w:rPr>
      </w:pPr>
    </w:p>
    <w:p w:rsidR="00F5712A" w:rsidRPr="00F5712A" w:rsidRDefault="00F5712A" w:rsidP="00F5712A">
      <w:pPr>
        <w:spacing w:after="0" w:line="240" w:lineRule="auto"/>
        <w:jc w:val="both"/>
        <w:rPr>
          <w:rFonts w:ascii="Arial" w:eastAsia="Times New Roman" w:hAnsi="Arial" w:cs="Arial"/>
          <w:b/>
          <w:sz w:val="22"/>
          <w:szCs w:val="22"/>
          <w:lang w:eastAsia="fr-FR"/>
        </w:rPr>
      </w:pPr>
      <w:r w:rsidRPr="00F5712A">
        <w:rPr>
          <w:rFonts w:ascii="Arial" w:eastAsia="Times New Roman" w:hAnsi="Arial" w:cs="Arial"/>
          <w:b/>
          <w:sz w:val="22"/>
          <w:szCs w:val="22"/>
          <w:lang w:eastAsia="fr-FR"/>
        </w:rPr>
        <w:t>Emprunts :</w:t>
      </w:r>
    </w:p>
    <w:p w:rsidR="00F5712A" w:rsidRPr="00F5712A" w:rsidRDefault="00F5712A" w:rsidP="00F5712A">
      <w:pPr>
        <w:spacing w:after="0" w:line="240" w:lineRule="auto"/>
        <w:jc w:val="both"/>
        <w:rPr>
          <w:rFonts w:ascii="Arial" w:eastAsia="Times New Roman" w:hAnsi="Arial" w:cs="Arial"/>
          <w:sz w:val="22"/>
          <w:szCs w:val="22"/>
          <w:lang w:eastAsia="zh-CN"/>
        </w:rPr>
      </w:pPr>
      <w:r w:rsidRPr="00F5712A">
        <w:rPr>
          <w:rFonts w:ascii="Arial" w:eastAsia="Times New Roman" w:hAnsi="Arial" w:cs="Arial"/>
          <w:sz w:val="22"/>
          <w:szCs w:val="22"/>
          <w:lang w:eastAsia="fr-FR"/>
        </w:rPr>
        <w:t>L’emprunt est estimé à partir du montant des investissements envisagés en 2019 puis les années suivantes</w:t>
      </w:r>
      <w:r w:rsidRPr="00F5712A">
        <w:rPr>
          <w:rFonts w:ascii="Arial" w:eastAsia="Times New Roman" w:hAnsi="Arial" w:cs="Arial"/>
          <w:sz w:val="22"/>
          <w:szCs w:val="22"/>
          <w:lang w:eastAsia="zh-CN"/>
        </w:rPr>
        <w:t>.</w:t>
      </w:r>
    </w:p>
    <w:p w:rsidR="00F5712A" w:rsidRPr="00F5712A" w:rsidRDefault="00F5712A" w:rsidP="00F5712A">
      <w:pPr>
        <w:spacing w:after="0" w:line="240" w:lineRule="auto"/>
        <w:jc w:val="both"/>
        <w:rPr>
          <w:rFonts w:ascii="Arial" w:eastAsia="Times New Roman" w:hAnsi="Arial" w:cs="Arial"/>
          <w:sz w:val="22"/>
          <w:szCs w:val="22"/>
          <w:lang w:eastAsia="zh-CN"/>
        </w:rPr>
      </w:pPr>
    </w:p>
    <w:p w:rsidR="00F5712A" w:rsidRPr="00F5712A" w:rsidRDefault="00F5712A" w:rsidP="00F5712A">
      <w:pPr>
        <w:spacing w:after="0" w:line="240" w:lineRule="auto"/>
        <w:jc w:val="both"/>
        <w:rPr>
          <w:rFonts w:ascii="Arial" w:eastAsia="Times New Roman" w:hAnsi="Arial" w:cs="Arial"/>
          <w:sz w:val="22"/>
          <w:szCs w:val="22"/>
          <w:lang w:eastAsia="zh-CN"/>
        </w:rPr>
      </w:pPr>
      <w:r w:rsidRPr="00F5712A">
        <w:rPr>
          <w:rFonts w:ascii="Arial" w:eastAsia="Times New Roman" w:hAnsi="Arial" w:cs="Arial"/>
          <w:b/>
          <w:sz w:val="22"/>
          <w:szCs w:val="22"/>
          <w:lang w:eastAsia="zh-CN"/>
        </w:rPr>
        <w:t>Autres recettes</w:t>
      </w:r>
      <w:r w:rsidRPr="00F5712A">
        <w:rPr>
          <w:rFonts w:ascii="Arial" w:eastAsia="Times New Roman" w:hAnsi="Arial" w:cs="Arial"/>
          <w:sz w:val="22"/>
          <w:szCs w:val="22"/>
          <w:lang w:eastAsia="zh-CN"/>
        </w:rPr>
        <w:t> :</w:t>
      </w:r>
    </w:p>
    <w:p w:rsidR="00F5712A" w:rsidRPr="00F5712A" w:rsidRDefault="00F5712A" w:rsidP="00F5712A">
      <w:pPr>
        <w:spacing w:after="0" w:line="240" w:lineRule="auto"/>
        <w:jc w:val="both"/>
        <w:rPr>
          <w:rFonts w:ascii="Arial" w:eastAsia="Times New Roman" w:hAnsi="Arial" w:cs="Arial"/>
          <w:sz w:val="22"/>
          <w:szCs w:val="22"/>
          <w:lang w:eastAsia="zh-CN"/>
        </w:rPr>
      </w:pPr>
      <w:r w:rsidRPr="00F5712A">
        <w:rPr>
          <w:rFonts w:ascii="Arial" w:eastAsia="Times New Roman" w:hAnsi="Arial" w:cs="Arial"/>
          <w:sz w:val="22"/>
          <w:szCs w:val="22"/>
          <w:lang w:eastAsia="zh-CN"/>
        </w:rPr>
        <w:t>Le produit des taxes d’urbanisme est estimé, à partir de 2019, en fonction de la somme perçue en 2018.</w:t>
      </w:r>
    </w:p>
    <w:p w:rsidR="00F5712A" w:rsidRPr="00F5712A" w:rsidRDefault="00F5712A" w:rsidP="00F5712A">
      <w:pPr>
        <w:spacing w:after="0" w:line="240" w:lineRule="auto"/>
        <w:jc w:val="both"/>
        <w:rPr>
          <w:rFonts w:ascii="Arial" w:eastAsia="Times New Roman" w:hAnsi="Arial" w:cs="Arial"/>
          <w:sz w:val="22"/>
          <w:szCs w:val="22"/>
          <w:lang w:eastAsia="zh-CN"/>
        </w:rPr>
      </w:pPr>
      <w:r w:rsidRPr="00F5712A">
        <w:rPr>
          <w:rFonts w:ascii="Arial" w:eastAsia="Times New Roman" w:hAnsi="Arial" w:cs="Arial"/>
          <w:sz w:val="22"/>
          <w:szCs w:val="22"/>
          <w:lang w:eastAsia="zh-CN"/>
        </w:rPr>
        <w:t>S’agissant des subventions à percevoir, sont pris en compte les versements qui peuvent être demandés en 2019. Un montant correspondant à la moyenne des trois dernières années est inscrit pour les exercices suivants.</w:t>
      </w:r>
    </w:p>
    <w:p w:rsidR="00F5712A" w:rsidRPr="00F5712A" w:rsidRDefault="00F5712A" w:rsidP="00F5712A">
      <w:pPr>
        <w:spacing w:after="0" w:line="240" w:lineRule="auto"/>
        <w:jc w:val="both"/>
        <w:rPr>
          <w:rFonts w:ascii="Times New Roman" w:eastAsia="Times New Roman" w:hAnsi="Times New Roman" w:cs="Times New Roman"/>
          <w:sz w:val="22"/>
          <w:szCs w:val="22"/>
          <w:lang w:eastAsia="zh-CN"/>
        </w:rPr>
      </w:pPr>
    </w:p>
    <w:p w:rsidR="00F5712A" w:rsidRPr="00F5712A" w:rsidRDefault="00F5712A" w:rsidP="00F5712A">
      <w:pPr>
        <w:spacing w:after="0" w:line="240" w:lineRule="auto"/>
        <w:jc w:val="both"/>
        <w:rPr>
          <w:rFonts w:ascii="Arial" w:eastAsia="Times New Roman" w:hAnsi="Arial" w:cs="Arial"/>
          <w:i/>
          <w:sz w:val="22"/>
          <w:szCs w:val="22"/>
          <w:lang w:eastAsia="zh-CN"/>
        </w:rPr>
      </w:pPr>
      <w:r w:rsidRPr="00F5712A">
        <w:rPr>
          <w:rFonts w:ascii="Arial" w:eastAsia="Times New Roman" w:hAnsi="Arial" w:cs="Arial"/>
          <w:i/>
          <w:sz w:val="22"/>
          <w:szCs w:val="22"/>
          <w:lang w:eastAsia="zh-CN"/>
        </w:rPr>
        <w:t>Daniel ROBERT-CHARRERAU présente les dépenses de la section d’investissement.</w:t>
      </w:r>
    </w:p>
    <w:p w:rsidR="00F5712A" w:rsidRPr="00F5712A" w:rsidRDefault="00F5712A" w:rsidP="00F5712A">
      <w:pPr>
        <w:spacing w:after="0" w:line="240" w:lineRule="auto"/>
        <w:jc w:val="both"/>
        <w:rPr>
          <w:rFonts w:ascii="Times New Roman" w:eastAsia="Times New Roman" w:hAnsi="Times New Roman" w:cs="Times New Roman"/>
          <w:sz w:val="22"/>
          <w:szCs w:val="22"/>
          <w:lang w:eastAsia="zh-CN"/>
        </w:rPr>
      </w:pPr>
    </w:p>
    <w:tbl>
      <w:tblPr>
        <w:tblW w:w="10545" w:type="dxa"/>
        <w:tblLayout w:type="fixed"/>
        <w:tblCellMar>
          <w:left w:w="0" w:type="dxa"/>
          <w:right w:w="0" w:type="dxa"/>
        </w:tblCellMar>
        <w:tblLook w:val="01E0" w:firstRow="1" w:lastRow="1" w:firstColumn="1" w:lastColumn="1" w:noHBand="0" w:noVBand="0"/>
      </w:tblPr>
      <w:tblGrid>
        <w:gridCol w:w="10545"/>
      </w:tblGrid>
      <w:tr w:rsidR="00F5712A" w:rsidRPr="00F5712A" w:rsidTr="00F5712A">
        <w:tc>
          <w:tcPr>
            <w:tcW w:w="10545" w:type="dxa"/>
            <w:tcMar>
              <w:top w:w="0" w:type="dxa"/>
              <w:left w:w="0" w:type="dxa"/>
              <w:bottom w:w="0" w:type="dxa"/>
              <w:right w:w="0" w:type="dxa"/>
            </w:tcMar>
            <w:vAlign w:val="center"/>
          </w:tcPr>
          <w:p w:rsidR="00F5712A" w:rsidRPr="00F5712A" w:rsidRDefault="00F5712A" w:rsidP="00F5712A">
            <w:pPr>
              <w:spacing w:after="0" w:line="1" w:lineRule="auto"/>
              <w:jc w:val="both"/>
              <w:rPr>
                <w:rFonts w:ascii="Times New Roman" w:eastAsia="Times New Roman" w:hAnsi="Times New Roman" w:cs="Times New Roman"/>
                <w:sz w:val="22"/>
                <w:szCs w:val="22"/>
                <w:lang w:val="en-US" w:eastAsia="zh-CN"/>
              </w:rPr>
            </w:pPr>
            <w:bookmarkStart w:id="19" w:name="__bookmark_92"/>
            <w:bookmarkEnd w:id="19"/>
          </w:p>
        </w:tc>
      </w:tr>
    </w:tbl>
    <w:p w:rsidR="001B621E" w:rsidRDefault="001B621E" w:rsidP="0081123C">
      <w:pPr>
        <w:spacing w:after="0" w:line="240" w:lineRule="auto"/>
        <w:jc w:val="both"/>
        <w:rPr>
          <w:rFonts w:ascii="Arial" w:eastAsia="Arial" w:hAnsi="Arial" w:cs="Arial"/>
          <w:b/>
          <w:bCs/>
          <w:color w:val="000000"/>
          <w:sz w:val="22"/>
          <w:szCs w:val="22"/>
          <w:lang w:eastAsia="zh-CN"/>
        </w:rPr>
      </w:pPr>
    </w:p>
    <w:p w:rsidR="001B621E" w:rsidRDefault="001B621E" w:rsidP="0081123C">
      <w:pPr>
        <w:spacing w:after="0" w:line="240" w:lineRule="auto"/>
        <w:jc w:val="both"/>
        <w:rPr>
          <w:rFonts w:ascii="Arial" w:eastAsia="Arial" w:hAnsi="Arial" w:cs="Arial"/>
          <w:b/>
          <w:bCs/>
          <w:color w:val="000000"/>
          <w:sz w:val="22"/>
          <w:szCs w:val="22"/>
          <w:lang w:eastAsia="zh-CN"/>
        </w:rPr>
      </w:pPr>
    </w:p>
    <w:p w:rsidR="001B621E" w:rsidRDefault="001B621E" w:rsidP="0081123C">
      <w:pPr>
        <w:spacing w:after="0" w:line="240" w:lineRule="auto"/>
        <w:jc w:val="both"/>
        <w:rPr>
          <w:rFonts w:ascii="Arial" w:eastAsia="Arial" w:hAnsi="Arial" w:cs="Arial"/>
          <w:b/>
          <w:bCs/>
          <w:color w:val="000000"/>
          <w:sz w:val="22"/>
          <w:szCs w:val="22"/>
          <w:lang w:eastAsia="zh-CN"/>
        </w:rPr>
      </w:pPr>
    </w:p>
    <w:p w:rsidR="00F5712A" w:rsidRPr="00F5712A" w:rsidRDefault="00F5712A" w:rsidP="0081123C">
      <w:pPr>
        <w:spacing w:after="0" w:line="240" w:lineRule="auto"/>
        <w:jc w:val="both"/>
        <w:rPr>
          <w:rFonts w:ascii="Arial" w:eastAsia="Arial" w:hAnsi="Arial" w:cs="Arial"/>
          <w:b/>
          <w:bCs/>
          <w:color w:val="000000"/>
          <w:sz w:val="22"/>
          <w:szCs w:val="22"/>
          <w:lang w:eastAsia="zh-CN"/>
        </w:rPr>
      </w:pPr>
      <w:r w:rsidRPr="00F5712A">
        <w:rPr>
          <w:rFonts w:ascii="Arial" w:eastAsia="Arial" w:hAnsi="Arial" w:cs="Arial"/>
          <w:b/>
          <w:bCs/>
          <w:color w:val="000000"/>
          <w:sz w:val="22"/>
          <w:szCs w:val="22"/>
          <w:lang w:eastAsia="zh-CN"/>
        </w:rPr>
        <w:lastRenderedPageBreak/>
        <w:t>Les hypothèses pour les principales dépenses de fonctionnement :</w:t>
      </w:r>
    </w:p>
    <w:p w:rsidR="00F5712A" w:rsidRPr="00F5712A" w:rsidRDefault="00F5712A" w:rsidP="00F5712A">
      <w:pPr>
        <w:spacing w:after="0" w:line="240" w:lineRule="auto"/>
        <w:jc w:val="both"/>
        <w:rPr>
          <w:rFonts w:ascii="Arial" w:eastAsia="Arial" w:hAnsi="Arial" w:cs="Arial"/>
          <w:b/>
          <w:bCs/>
          <w:color w:val="000000"/>
          <w:sz w:val="22"/>
          <w:szCs w:val="22"/>
          <w:lang w:eastAsia="zh-CN"/>
        </w:rPr>
      </w:pPr>
    </w:p>
    <w:p w:rsidR="00F5712A" w:rsidRPr="00F5712A" w:rsidRDefault="00F5712A" w:rsidP="00F5712A">
      <w:pPr>
        <w:spacing w:after="0" w:line="240" w:lineRule="auto"/>
        <w:jc w:val="both"/>
        <w:rPr>
          <w:rFonts w:ascii="Arial" w:eastAsia="Times New Roman" w:hAnsi="Arial" w:cs="Arial"/>
          <w:b/>
          <w:sz w:val="22"/>
          <w:szCs w:val="22"/>
          <w:lang w:eastAsia="zh-CN"/>
        </w:rPr>
      </w:pPr>
      <w:r w:rsidRPr="00F5712A">
        <w:rPr>
          <w:rFonts w:ascii="Arial" w:eastAsia="Times New Roman" w:hAnsi="Arial" w:cs="Arial"/>
          <w:b/>
          <w:sz w:val="22"/>
          <w:szCs w:val="22"/>
          <w:lang w:eastAsia="zh-CN"/>
        </w:rPr>
        <w:t>Projets d’investissements pluriannuels et annuels :</w:t>
      </w:r>
    </w:p>
    <w:p w:rsidR="00F5712A" w:rsidRPr="00F5712A" w:rsidRDefault="00F5712A" w:rsidP="00F5712A">
      <w:pPr>
        <w:spacing w:after="0" w:line="240" w:lineRule="auto"/>
        <w:jc w:val="both"/>
        <w:rPr>
          <w:rFonts w:ascii="Arial" w:eastAsia="Times New Roman" w:hAnsi="Arial" w:cs="Arial"/>
          <w:sz w:val="22"/>
          <w:szCs w:val="22"/>
          <w:lang w:eastAsia="zh-CN"/>
        </w:rPr>
      </w:pPr>
      <w:r w:rsidRPr="00F5712A">
        <w:rPr>
          <w:rFonts w:ascii="Arial" w:eastAsia="Times New Roman" w:hAnsi="Arial" w:cs="Arial"/>
          <w:sz w:val="22"/>
          <w:szCs w:val="22"/>
          <w:lang w:eastAsia="zh-CN"/>
        </w:rPr>
        <w:t>Les dépenses réelles d’investissement sont estimées à partir des projets envisagés en 2019 puis du volume d’investissement qui paraît soutenable pour les exercices budgétaires suivants.</w:t>
      </w:r>
    </w:p>
    <w:p w:rsidR="00F5712A" w:rsidRPr="00F5712A" w:rsidRDefault="00F5712A" w:rsidP="00F5712A">
      <w:pPr>
        <w:spacing w:after="0" w:line="240" w:lineRule="auto"/>
        <w:jc w:val="both"/>
        <w:rPr>
          <w:rFonts w:ascii="Arial" w:eastAsia="Times New Roman" w:hAnsi="Arial" w:cs="Arial"/>
          <w:sz w:val="22"/>
          <w:szCs w:val="22"/>
          <w:lang w:eastAsia="zh-CN"/>
        </w:rPr>
      </w:pPr>
    </w:p>
    <w:p w:rsidR="00F5712A" w:rsidRPr="00F5712A" w:rsidRDefault="00F5712A" w:rsidP="00F5712A">
      <w:pPr>
        <w:spacing w:after="0" w:line="240" w:lineRule="auto"/>
        <w:jc w:val="both"/>
        <w:rPr>
          <w:rFonts w:ascii="Arial" w:eastAsia="Times New Roman" w:hAnsi="Arial" w:cs="Arial"/>
          <w:b/>
          <w:sz w:val="22"/>
          <w:szCs w:val="22"/>
          <w:lang w:eastAsia="zh-CN"/>
        </w:rPr>
      </w:pPr>
      <w:r w:rsidRPr="00F5712A">
        <w:rPr>
          <w:rFonts w:ascii="Arial" w:eastAsia="Times New Roman" w:hAnsi="Arial" w:cs="Arial"/>
          <w:b/>
          <w:sz w:val="22"/>
          <w:szCs w:val="22"/>
          <w:lang w:eastAsia="zh-CN"/>
        </w:rPr>
        <w:t>Remboursement du capital de la dette :</w:t>
      </w:r>
    </w:p>
    <w:p w:rsidR="00F5712A" w:rsidRPr="00F5712A" w:rsidRDefault="00F5712A" w:rsidP="00F5712A">
      <w:pPr>
        <w:spacing w:after="0" w:line="240" w:lineRule="auto"/>
        <w:jc w:val="both"/>
        <w:rPr>
          <w:rFonts w:ascii="Arial" w:eastAsia="Times New Roman" w:hAnsi="Arial" w:cs="Arial"/>
          <w:sz w:val="22"/>
          <w:szCs w:val="22"/>
          <w:lang w:eastAsia="zh-CN"/>
        </w:rPr>
      </w:pPr>
      <w:r w:rsidRPr="00F5712A">
        <w:rPr>
          <w:rFonts w:ascii="Arial" w:eastAsia="Times New Roman" w:hAnsi="Arial" w:cs="Arial"/>
          <w:sz w:val="22"/>
          <w:szCs w:val="22"/>
          <w:lang w:eastAsia="zh-CN"/>
        </w:rPr>
        <w:t>Le remboursement du capital de la dette pour les prochains exercices est estimé à partir du besoin d’emprunt généré par les volumes d’investissements envisagés.</w:t>
      </w:r>
    </w:p>
    <w:p w:rsidR="00F5712A" w:rsidRPr="00F5712A" w:rsidRDefault="00F5712A" w:rsidP="00F5712A">
      <w:pPr>
        <w:spacing w:after="0" w:line="240" w:lineRule="auto"/>
        <w:jc w:val="both"/>
        <w:rPr>
          <w:rFonts w:ascii="Arial" w:eastAsia="Times New Roman" w:hAnsi="Arial" w:cs="Arial"/>
          <w:sz w:val="22"/>
          <w:szCs w:val="22"/>
          <w:lang w:eastAsia="zh-CN"/>
        </w:rPr>
      </w:pPr>
    </w:p>
    <w:p w:rsidR="00F5712A" w:rsidRPr="00F5712A" w:rsidRDefault="00F5712A" w:rsidP="00F5712A">
      <w:pPr>
        <w:spacing w:after="0" w:line="240" w:lineRule="auto"/>
        <w:jc w:val="both"/>
        <w:rPr>
          <w:rFonts w:ascii="Arial" w:eastAsia="Times New Roman" w:hAnsi="Arial" w:cs="Arial"/>
          <w:b/>
          <w:sz w:val="22"/>
          <w:szCs w:val="22"/>
          <w:lang w:eastAsia="zh-CN"/>
        </w:rPr>
      </w:pPr>
      <w:r w:rsidRPr="00F5712A">
        <w:rPr>
          <w:rFonts w:ascii="Arial" w:eastAsia="Times New Roman" w:hAnsi="Arial" w:cs="Arial"/>
          <w:b/>
          <w:sz w:val="22"/>
          <w:szCs w:val="22"/>
          <w:lang w:eastAsia="zh-CN"/>
        </w:rPr>
        <w:t>Le programme pluriannuel d’investissement :</w:t>
      </w:r>
    </w:p>
    <w:p w:rsidR="00F5712A" w:rsidRPr="00F5712A" w:rsidRDefault="00F5712A" w:rsidP="00F5712A">
      <w:pPr>
        <w:spacing w:after="0" w:line="240" w:lineRule="auto"/>
        <w:jc w:val="both"/>
        <w:rPr>
          <w:rFonts w:ascii="Arial" w:eastAsia="Times New Roman" w:hAnsi="Arial" w:cs="Arial"/>
          <w:b/>
          <w:sz w:val="22"/>
          <w:szCs w:val="22"/>
          <w:lang w:eastAsia="zh-CN"/>
        </w:rPr>
      </w:pPr>
    </w:p>
    <w:p w:rsidR="00F5712A" w:rsidRPr="00F5712A" w:rsidRDefault="00F5712A" w:rsidP="00F5712A">
      <w:pPr>
        <w:spacing w:after="0" w:line="240" w:lineRule="auto"/>
        <w:jc w:val="both"/>
        <w:rPr>
          <w:rFonts w:ascii="Arial" w:eastAsia="Times New Roman" w:hAnsi="Arial" w:cs="Arial"/>
          <w:bCs/>
          <w:sz w:val="22"/>
          <w:szCs w:val="22"/>
          <w:lang w:eastAsia="zh-CN"/>
        </w:rPr>
      </w:pPr>
      <w:r w:rsidRPr="00F5712A">
        <w:rPr>
          <w:rFonts w:ascii="Arial" w:eastAsia="Times New Roman" w:hAnsi="Arial" w:cs="Arial"/>
          <w:bCs/>
          <w:sz w:val="22"/>
          <w:szCs w:val="22"/>
          <w:lang w:eastAsia="zh-CN"/>
        </w:rPr>
        <w:t>Des projets d’investissement pluriannuels sont proposés pour 2019 et pris en compte par la prospective financière. Le tableau suivant expose une estimation de leur coût pour l’exercice 2019. Cette estimation a vocation à évoluer d’ici au vote du budget primitif 2019.</w:t>
      </w: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p>
    <w:tbl>
      <w:tblPr>
        <w:tblW w:w="6440" w:type="dxa"/>
        <w:jc w:val="center"/>
        <w:tblCellMar>
          <w:left w:w="70" w:type="dxa"/>
          <w:right w:w="70" w:type="dxa"/>
        </w:tblCellMar>
        <w:tblLook w:val="04A0" w:firstRow="1" w:lastRow="0" w:firstColumn="1" w:lastColumn="0" w:noHBand="0" w:noVBand="1"/>
      </w:tblPr>
      <w:tblGrid>
        <w:gridCol w:w="4900"/>
        <w:gridCol w:w="1540"/>
      </w:tblGrid>
      <w:tr w:rsidR="00F5712A" w:rsidRPr="00F5712A" w:rsidTr="00F5712A">
        <w:trPr>
          <w:trHeight w:val="493"/>
          <w:jc w:val="center"/>
        </w:trPr>
        <w:tc>
          <w:tcPr>
            <w:tcW w:w="4900" w:type="dxa"/>
            <w:vMerge w:val="restart"/>
            <w:tcBorders>
              <w:top w:val="single" w:sz="8" w:space="0" w:color="auto"/>
              <w:left w:val="single" w:sz="8" w:space="0" w:color="auto"/>
              <w:bottom w:val="single" w:sz="4" w:space="0" w:color="auto"/>
              <w:right w:val="nil"/>
            </w:tcBorders>
            <w:shd w:val="clear" w:color="auto" w:fill="005C73"/>
            <w:noWrap/>
            <w:vAlign w:val="center"/>
            <w:hideMark/>
          </w:tcPr>
          <w:p w:rsidR="00F5712A" w:rsidRPr="00F5712A" w:rsidRDefault="00F5712A" w:rsidP="00F5712A">
            <w:pPr>
              <w:spacing w:after="0" w:line="240" w:lineRule="auto"/>
              <w:jc w:val="center"/>
              <w:rPr>
                <w:rFonts w:ascii="Arial" w:eastAsia="Times New Roman" w:hAnsi="Arial" w:cs="Arial"/>
                <w:b/>
                <w:bCs/>
                <w:color w:val="FFFFFF"/>
                <w:sz w:val="20"/>
                <w:szCs w:val="20"/>
                <w:lang w:eastAsia="fr-FR"/>
              </w:rPr>
            </w:pPr>
            <w:r w:rsidRPr="00F5712A">
              <w:rPr>
                <w:rFonts w:ascii="Arial" w:eastAsia="Times New Roman" w:hAnsi="Arial" w:cs="Arial"/>
                <w:b/>
                <w:bCs/>
                <w:color w:val="FFFFFF"/>
                <w:sz w:val="20"/>
                <w:szCs w:val="20"/>
                <w:lang w:eastAsia="fr-FR"/>
              </w:rPr>
              <w:t>Catégorie d'investissement</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005C73"/>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eastAsia="fr-FR"/>
              </w:rPr>
            </w:pPr>
            <w:r w:rsidRPr="00F5712A">
              <w:rPr>
                <w:rFonts w:ascii="Arial" w:eastAsia="Times New Roman" w:hAnsi="Arial" w:cs="Arial"/>
                <w:b/>
                <w:bCs/>
                <w:color w:val="FFFFFF"/>
                <w:sz w:val="20"/>
                <w:szCs w:val="20"/>
                <w:lang w:eastAsia="fr-FR"/>
              </w:rPr>
              <w:t>2019</w:t>
            </w:r>
            <w:r w:rsidRPr="00F5712A">
              <w:rPr>
                <w:rFonts w:ascii="Arial" w:eastAsia="Times New Roman" w:hAnsi="Arial" w:cs="Arial"/>
                <w:b/>
                <w:bCs/>
                <w:color w:val="FFFFFF"/>
                <w:sz w:val="20"/>
                <w:szCs w:val="20"/>
                <w:lang w:eastAsia="fr-FR"/>
              </w:rPr>
              <w:br/>
              <w:t>(prévisionnel)</w:t>
            </w:r>
          </w:p>
        </w:tc>
      </w:tr>
      <w:tr w:rsidR="00F5712A" w:rsidRPr="00F5712A" w:rsidTr="00F5712A">
        <w:trPr>
          <w:trHeight w:val="493"/>
          <w:jc w:val="center"/>
        </w:trPr>
        <w:tc>
          <w:tcPr>
            <w:tcW w:w="4900" w:type="dxa"/>
            <w:vMerge/>
            <w:tcBorders>
              <w:top w:val="single" w:sz="8" w:space="0" w:color="auto"/>
              <w:left w:val="single" w:sz="8" w:space="0" w:color="auto"/>
              <w:bottom w:val="single" w:sz="4" w:space="0" w:color="auto"/>
              <w:right w:val="nil"/>
            </w:tcBorders>
            <w:shd w:val="clear" w:color="auto" w:fill="005C73"/>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p>
        </w:tc>
        <w:tc>
          <w:tcPr>
            <w:tcW w:w="1540" w:type="dxa"/>
            <w:vMerge/>
            <w:tcBorders>
              <w:top w:val="single" w:sz="8" w:space="0" w:color="auto"/>
              <w:left w:val="single" w:sz="8" w:space="0" w:color="auto"/>
              <w:bottom w:val="single" w:sz="8" w:space="0" w:color="000000"/>
              <w:right w:val="single" w:sz="8" w:space="0" w:color="auto"/>
            </w:tcBorders>
            <w:shd w:val="clear" w:color="auto" w:fill="005C73"/>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p>
        </w:tc>
      </w:tr>
      <w:tr w:rsidR="00F5712A" w:rsidRPr="00F5712A" w:rsidTr="00F5712A">
        <w:trPr>
          <w:trHeight w:val="319"/>
          <w:jc w:val="center"/>
        </w:trPr>
        <w:tc>
          <w:tcPr>
            <w:tcW w:w="4900" w:type="dxa"/>
            <w:tcBorders>
              <w:top w:val="single" w:sz="8" w:space="0" w:color="auto"/>
              <w:left w:val="single" w:sz="8" w:space="0" w:color="auto"/>
              <w:bottom w:val="single" w:sz="8" w:space="0" w:color="auto"/>
              <w:right w:val="nil"/>
            </w:tcBorders>
            <w:shd w:val="clear" w:color="auto" w:fill="C4DCEA"/>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Rénovation et adaptation des écoles :</w:t>
            </w:r>
          </w:p>
        </w:tc>
        <w:tc>
          <w:tcPr>
            <w:tcW w:w="1540" w:type="dxa"/>
            <w:tcBorders>
              <w:top w:val="nil"/>
              <w:left w:val="single" w:sz="8" w:space="0" w:color="auto"/>
              <w:bottom w:val="single" w:sz="8" w:space="0" w:color="auto"/>
              <w:right w:val="single" w:sz="8" w:space="0" w:color="auto"/>
            </w:tcBorders>
            <w:shd w:val="clear" w:color="auto" w:fill="C4DCEA"/>
            <w:noWrap/>
            <w:vAlign w:val="center"/>
            <w:hideMark/>
          </w:tcPr>
          <w:p w:rsidR="00F5712A" w:rsidRPr="00F5712A" w:rsidRDefault="00F5712A" w:rsidP="00F5712A">
            <w:pPr>
              <w:spacing w:after="0" w:line="240" w:lineRule="auto"/>
              <w:jc w:val="center"/>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866 800,00 €</w:t>
            </w:r>
          </w:p>
        </w:tc>
      </w:tr>
      <w:tr w:rsidR="00F5712A" w:rsidRPr="00F5712A" w:rsidTr="00F5712A">
        <w:trPr>
          <w:trHeight w:val="319"/>
          <w:jc w:val="center"/>
        </w:trPr>
        <w:tc>
          <w:tcPr>
            <w:tcW w:w="4900" w:type="dxa"/>
            <w:tcBorders>
              <w:top w:val="nil"/>
              <w:left w:val="single" w:sz="8" w:space="0" w:color="auto"/>
              <w:bottom w:val="single" w:sz="4" w:space="0" w:color="auto"/>
              <w:right w:val="nil"/>
            </w:tcBorders>
            <w:shd w:val="clear" w:color="auto" w:fill="E6E6E6"/>
            <w:noWrap/>
            <w:vAlign w:val="center"/>
            <w:hideMark/>
          </w:tcPr>
          <w:p w:rsidR="00F5712A" w:rsidRPr="00F5712A" w:rsidRDefault="00F5712A" w:rsidP="00F5712A">
            <w:pPr>
              <w:spacing w:after="0" w:line="240" w:lineRule="auto"/>
              <w:rPr>
                <w:rFonts w:ascii="Arial" w:eastAsia="Times New Roman" w:hAnsi="Arial" w:cs="Arial"/>
                <w:i/>
                <w:iCs/>
                <w:color w:val="000000"/>
                <w:sz w:val="20"/>
                <w:szCs w:val="20"/>
                <w:lang w:eastAsia="fr-FR"/>
              </w:rPr>
            </w:pPr>
            <w:r w:rsidRPr="00F5712A">
              <w:rPr>
                <w:rFonts w:ascii="Arial" w:eastAsia="Times New Roman" w:hAnsi="Arial" w:cs="Arial"/>
                <w:i/>
                <w:iCs/>
                <w:color w:val="000000"/>
                <w:sz w:val="20"/>
                <w:szCs w:val="20"/>
                <w:lang w:eastAsia="fr-FR"/>
              </w:rPr>
              <w:t>Groupe scolaire Ollier</w:t>
            </w:r>
          </w:p>
        </w:tc>
        <w:tc>
          <w:tcPr>
            <w:tcW w:w="1540" w:type="dxa"/>
            <w:tcBorders>
              <w:top w:val="nil"/>
              <w:left w:val="single" w:sz="8" w:space="0" w:color="auto"/>
              <w:bottom w:val="single" w:sz="4" w:space="0" w:color="auto"/>
              <w:right w:val="single" w:sz="8" w:space="0" w:color="auto"/>
            </w:tcBorders>
            <w:shd w:val="clear" w:color="auto" w:fill="E6E6E6"/>
            <w:noWrap/>
            <w:vAlign w:val="center"/>
            <w:hideMark/>
          </w:tcPr>
          <w:p w:rsidR="00F5712A" w:rsidRPr="00F5712A" w:rsidRDefault="00F5712A" w:rsidP="00F5712A">
            <w:pPr>
              <w:spacing w:after="0" w:line="240" w:lineRule="auto"/>
              <w:jc w:val="center"/>
              <w:rPr>
                <w:rFonts w:ascii="Arial" w:eastAsia="Times New Roman" w:hAnsi="Arial" w:cs="Arial"/>
                <w:i/>
                <w:iCs/>
                <w:color w:val="000000"/>
                <w:sz w:val="20"/>
                <w:szCs w:val="20"/>
                <w:lang w:eastAsia="fr-FR"/>
              </w:rPr>
            </w:pPr>
            <w:r w:rsidRPr="00F5712A">
              <w:rPr>
                <w:rFonts w:ascii="Arial" w:eastAsia="Times New Roman" w:hAnsi="Arial" w:cs="Arial"/>
                <w:i/>
                <w:iCs/>
                <w:color w:val="000000"/>
                <w:sz w:val="20"/>
                <w:szCs w:val="20"/>
                <w:lang w:eastAsia="fr-FR"/>
              </w:rPr>
              <w:t>35 000,00 €</w:t>
            </w:r>
          </w:p>
        </w:tc>
      </w:tr>
      <w:tr w:rsidR="00F5712A" w:rsidRPr="00F5712A" w:rsidTr="00F5712A">
        <w:trPr>
          <w:trHeight w:val="319"/>
          <w:jc w:val="center"/>
        </w:trPr>
        <w:tc>
          <w:tcPr>
            <w:tcW w:w="4900" w:type="dxa"/>
            <w:tcBorders>
              <w:top w:val="nil"/>
              <w:left w:val="single" w:sz="8" w:space="0" w:color="auto"/>
              <w:bottom w:val="single" w:sz="4" w:space="0" w:color="auto"/>
              <w:right w:val="nil"/>
            </w:tcBorders>
            <w:shd w:val="clear" w:color="auto" w:fill="E6E6E6"/>
            <w:noWrap/>
            <w:vAlign w:val="center"/>
            <w:hideMark/>
          </w:tcPr>
          <w:p w:rsidR="00F5712A" w:rsidRPr="00F5712A" w:rsidRDefault="00F5712A" w:rsidP="00F5712A">
            <w:pPr>
              <w:spacing w:after="0" w:line="240" w:lineRule="auto"/>
              <w:rPr>
                <w:rFonts w:ascii="Arial" w:eastAsia="Times New Roman" w:hAnsi="Arial" w:cs="Arial"/>
                <w:i/>
                <w:iCs/>
                <w:color w:val="000000"/>
                <w:sz w:val="20"/>
                <w:szCs w:val="20"/>
                <w:lang w:eastAsia="fr-FR"/>
              </w:rPr>
            </w:pPr>
            <w:r w:rsidRPr="00F5712A">
              <w:rPr>
                <w:rFonts w:ascii="Arial" w:eastAsia="Times New Roman" w:hAnsi="Arial" w:cs="Arial"/>
                <w:i/>
                <w:iCs/>
                <w:color w:val="000000"/>
                <w:sz w:val="20"/>
                <w:szCs w:val="20"/>
                <w:lang w:eastAsia="fr-FR"/>
              </w:rPr>
              <w:t>Groupe scolaire Bayard</w:t>
            </w:r>
          </w:p>
        </w:tc>
        <w:tc>
          <w:tcPr>
            <w:tcW w:w="1540" w:type="dxa"/>
            <w:tcBorders>
              <w:top w:val="nil"/>
              <w:left w:val="single" w:sz="8" w:space="0" w:color="auto"/>
              <w:bottom w:val="single" w:sz="4" w:space="0" w:color="auto"/>
              <w:right w:val="single" w:sz="8" w:space="0" w:color="auto"/>
            </w:tcBorders>
            <w:shd w:val="clear" w:color="auto" w:fill="E6E6E6"/>
            <w:noWrap/>
            <w:vAlign w:val="center"/>
            <w:hideMark/>
          </w:tcPr>
          <w:p w:rsidR="00F5712A" w:rsidRPr="00F5712A" w:rsidRDefault="00F5712A" w:rsidP="00F5712A">
            <w:pPr>
              <w:spacing w:after="0" w:line="240" w:lineRule="auto"/>
              <w:jc w:val="center"/>
              <w:rPr>
                <w:rFonts w:ascii="Arial" w:eastAsia="Times New Roman" w:hAnsi="Arial" w:cs="Arial"/>
                <w:i/>
                <w:iCs/>
                <w:color w:val="000000"/>
                <w:sz w:val="20"/>
                <w:szCs w:val="20"/>
                <w:lang w:eastAsia="fr-FR"/>
              </w:rPr>
            </w:pPr>
            <w:r w:rsidRPr="00F5712A">
              <w:rPr>
                <w:rFonts w:ascii="Arial" w:eastAsia="Times New Roman" w:hAnsi="Arial" w:cs="Arial"/>
                <w:i/>
                <w:iCs/>
                <w:color w:val="000000"/>
                <w:sz w:val="20"/>
                <w:szCs w:val="20"/>
                <w:lang w:eastAsia="fr-FR"/>
              </w:rPr>
              <w:t>773 000,00 €</w:t>
            </w:r>
          </w:p>
        </w:tc>
      </w:tr>
      <w:tr w:rsidR="00F5712A" w:rsidRPr="00F5712A" w:rsidTr="00F5712A">
        <w:trPr>
          <w:trHeight w:val="319"/>
          <w:jc w:val="center"/>
        </w:trPr>
        <w:tc>
          <w:tcPr>
            <w:tcW w:w="4900" w:type="dxa"/>
            <w:tcBorders>
              <w:top w:val="nil"/>
              <w:left w:val="single" w:sz="8" w:space="0" w:color="auto"/>
              <w:bottom w:val="single" w:sz="8" w:space="0" w:color="auto"/>
              <w:right w:val="nil"/>
            </w:tcBorders>
            <w:shd w:val="clear" w:color="auto" w:fill="E6E6E6"/>
            <w:noWrap/>
            <w:vAlign w:val="center"/>
            <w:hideMark/>
          </w:tcPr>
          <w:p w:rsidR="00F5712A" w:rsidRPr="00F5712A" w:rsidRDefault="00F5712A" w:rsidP="00F5712A">
            <w:pPr>
              <w:spacing w:after="0" w:line="240" w:lineRule="auto"/>
              <w:rPr>
                <w:rFonts w:ascii="Arial" w:eastAsia="Times New Roman" w:hAnsi="Arial" w:cs="Arial"/>
                <w:i/>
                <w:iCs/>
                <w:color w:val="000000"/>
                <w:sz w:val="20"/>
                <w:szCs w:val="20"/>
                <w:lang w:eastAsia="fr-FR"/>
              </w:rPr>
            </w:pPr>
            <w:r w:rsidRPr="00F5712A">
              <w:rPr>
                <w:rFonts w:ascii="Arial" w:eastAsia="Times New Roman" w:hAnsi="Arial" w:cs="Arial"/>
                <w:i/>
                <w:iCs/>
                <w:color w:val="000000"/>
                <w:sz w:val="20"/>
                <w:szCs w:val="20"/>
                <w:lang w:eastAsia="fr-FR"/>
              </w:rPr>
              <w:t>Ecole maternelle des Ayencins</w:t>
            </w:r>
          </w:p>
        </w:tc>
        <w:tc>
          <w:tcPr>
            <w:tcW w:w="1540" w:type="dxa"/>
            <w:tcBorders>
              <w:top w:val="nil"/>
              <w:left w:val="single" w:sz="8" w:space="0" w:color="auto"/>
              <w:bottom w:val="single" w:sz="8" w:space="0" w:color="auto"/>
              <w:right w:val="single" w:sz="8" w:space="0" w:color="auto"/>
            </w:tcBorders>
            <w:shd w:val="clear" w:color="auto" w:fill="E6E6E6"/>
            <w:noWrap/>
            <w:vAlign w:val="center"/>
            <w:hideMark/>
          </w:tcPr>
          <w:p w:rsidR="00F5712A" w:rsidRPr="00F5712A" w:rsidRDefault="00F5712A" w:rsidP="00F5712A">
            <w:pPr>
              <w:spacing w:after="0" w:line="240" w:lineRule="auto"/>
              <w:jc w:val="center"/>
              <w:rPr>
                <w:rFonts w:ascii="Arial" w:eastAsia="Times New Roman" w:hAnsi="Arial" w:cs="Arial"/>
                <w:i/>
                <w:iCs/>
                <w:color w:val="000000"/>
                <w:sz w:val="20"/>
                <w:szCs w:val="20"/>
                <w:lang w:eastAsia="fr-FR"/>
              </w:rPr>
            </w:pPr>
            <w:r w:rsidRPr="00F5712A">
              <w:rPr>
                <w:rFonts w:ascii="Arial" w:eastAsia="Times New Roman" w:hAnsi="Arial" w:cs="Arial"/>
                <w:i/>
                <w:iCs/>
                <w:color w:val="000000"/>
                <w:sz w:val="20"/>
                <w:szCs w:val="20"/>
                <w:lang w:eastAsia="fr-FR"/>
              </w:rPr>
              <w:t>58 800,00 €</w:t>
            </w:r>
          </w:p>
        </w:tc>
      </w:tr>
      <w:tr w:rsidR="00F5712A" w:rsidRPr="00F5712A" w:rsidTr="00F5712A">
        <w:trPr>
          <w:trHeight w:val="319"/>
          <w:jc w:val="center"/>
        </w:trPr>
        <w:tc>
          <w:tcPr>
            <w:tcW w:w="4900" w:type="dxa"/>
            <w:tcBorders>
              <w:top w:val="nil"/>
              <w:left w:val="single" w:sz="8" w:space="0" w:color="auto"/>
              <w:bottom w:val="single" w:sz="8" w:space="0" w:color="auto"/>
              <w:right w:val="nil"/>
            </w:tcBorders>
            <w:shd w:val="clear" w:color="auto" w:fill="C4DCEA"/>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Mise en accessibilité des bâtiments communaux</w:t>
            </w:r>
          </w:p>
        </w:tc>
        <w:tc>
          <w:tcPr>
            <w:tcW w:w="1540" w:type="dxa"/>
            <w:tcBorders>
              <w:top w:val="nil"/>
              <w:left w:val="single" w:sz="8" w:space="0" w:color="auto"/>
              <w:bottom w:val="single" w:sz="8" w:space="0" w:color="auto"/>
              <w:right w:val="single" w:sz="8" w:space="0" w:color="auto"/>
            </w:tcBorders>
            <w:shd w:val="clear" w:color="auto" w:fill="C4DCEA"/>
            <w:noWrap/>
            <w:vAlign w:val="center"/>
            <w:hideMark/>
          </w:tcPr>
          <w:p w:rsidR="00F5712A" w:rsidRPr="00F5712A" w:rsidRDefault="00F5712A" w:rsidP="00F5712A">
            <w:pPr>
              <w:spacing w:after="0" w:line="240" w:lineRule="auto"/>
              <w:jc w:val="center"/>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114 900,00 €</w:t>
            </w:r>
          </w:p>
        </w:tc>
      </w:tr>
      <w:tr w:rsidR="00F5712A" w:rsidRPr="00F5712A" w:rsidTr="00F5712A">
        <w:trPr>
          <w:trHeight w:val="319"/>
          <w:jc w:val="center"/>
        </w:trPr>
        <w:tc>
          <w:tcPr>
            <w:tcW w:w="4900" w:type="dxa"/>
            <w:tcBorders>
              <w:top w:val="nil"/>
              <w:left w:val="single" w:sz="8" w:space="0" w:color="auto"/>
              <w:bottom w:val="single" w:sz="8" w:space="0" w:color="auto"/>
              <w:right w:val="nil"/>
            </w:tcBorders>
            <w:shd w:val="clear" w:color="auto" w:fill="E6E6E6"/>
            <w:noWrap/>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Dispositif de vidéoprotection</w:t>
            </w:r>
          </w:p>
        </w:tc>
        <w:tc>
          <w:tcPr>
            <w:tcW w:w="1540" w:type="dxa"/>
            <w:tcBorders>
              <w:top w:val="nil"/>
              <w:left w:val="single" w:sz="8" w:space="0" w:color="auto"/>
              <w:bottom w:val="single" w:sz="8" w:space="0" w:color="auto"/>
              <w:right w:val="single" w:sz="8" w:space="0" w:color="auto"/>
            </w:tcBorders>
            <w:shd w:val="clear" w:color="auto" w:fill="E6E6E6"/>
            <w:noWrap/>
            <w:vAlign w:val="center"/>
            <w:hideMark/>
          </w:tcPr>
          <w:p w:rsidR="00F5712A" w:rsidRPr="00F5712A" w:rsidRDefault="00F5712A" w:rsidP="00F5712A">
            <w:pPr>
              <w:spacing w:after="0" w:line="240" w:lineRule="auto"/>
              <w:jc w:val="center"/>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43 800,00 €</w:t>
            </w:r>
          </w:p>
        </w:tc>
      </w:tr>
      <w:tr w:rsidR="00F5712A" w:rsidRPr="00F5712A" w:rsidTr="00F5712A">
        <w:trPr>
          <w:trHeight w:val="319"/>
          <w:jc w:val="center"/>
        </w:trPr>
        <w:tc>
          <w:tcPr>
            <w:tcW w:w="4900" w:type="dxa"/>
            <w:tcBorders>
              <w:top w:val="nil"/>
              <w:left w:val="single" w:sz="8" w:space="0" w:color="auto"/>
              <w:bottom w:val="single" w:sz="8" w:space="0" w:color="auto"/>
              <w:right w:val="nil"/>
            </w:tcBorders>
            <w:shd w:val="clear" w:color="auto" w:fill="C4DCEA"/>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Aménagement du terrain du Grésivaudan</w:t>
            </w:r>
          </w:p>
        </w:tc>
        <w:tc>
          <w:tcPr>
            <w:tcW w:w="1540" w:type="dxa"/>
            <w:tcBorders>
              <w:top w:val="nil"/>
              <w:left w:val="single" w:sz="8" w:space="0" w:color="auto"/>
              <w:bottom w:val="single" w:sz="8" w:space="0" w:color="auto"/>
              <w:right w:val="single" w:sz="8" w:space="0" w:color="auto"/>
            </w:tcBorders>
            <w:shd w:val="clear" w:color="auto" w:fill="C4DCEA"/>
            <w:noWrap/>
            <w:vAlign w:val="center"/>
            <w:hideMark/>
          </w:tcPr>
          <w:p w:rsidR="00F5712A" w:rsidRPr="00F5712A" w:rsidRDefault="00F5712A" w:rsidP="00F5712A">
            <w:pPr>
              <w:spacing w:after="0" w:line="240" w:lineRule="auto"/>
              <w:jc w:val="center"/>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46 500,00 €</w:t>
            </w:r>
          </w:p>
        </w:tc>
      </w:tr>
      <w:tr w:rsidR="00F5712A" w:rsidRPr="00F5712A" w:rsidTr="00F5712A">
        <w:trPr>
          <w:trHeight w:val="319"/>
          <w:jc w:val="center"/>
        </w:trPr>
        <w:tc>
          <w:tcPr>
            <w:tcW w:w="4900" w:type="dxa"/>
            <w:tcBorders>
              <w:top w:val="nil"/>
              <w:left w:val="single" w:sz="8" w:space="0" w:color="auto"/>
              <w:bottom w:val="single" w:sz="8" w:space="0" w:color="auto"/>
              <w:right w:val="nil"/>
            </w:tcBorders>
            <w:shd w:val="clear" w:color="auto" w:fill="E6E6E6"/>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Renouvellement de l'éclairage public</w:t>
            </w:r>
          </w:p>
        </w:tc>
        <w:tc>
          <w:tcPr>
            <w:tcW w:w="1540" w:type="dxa"/>
            <w:tcBorders>
              <w:top w:val="nil"/>
              <w:left w:val="single" w:sz="8" w:space="0" w:color="auto"/>
              <w:bottom w:val="single" w:sz="8" w:space="0" w:color="auto"/>
              <w:right w:val="single" w:sz="8" w:space="0" w:color="auto"/>
            </w:tcBorders>
            <w:shd w:val="clear" w:color="auto" w:fill="E6E6E6"/>
            <w:noWrap/>
            <w:vAlign w:val="center"/>
            <w:hideMark/>
          </w:tcPr>
          <w:p w:rsidR="00F5712A" w:rsidRPr="00F5712A" w:rsidRDefault="00F5712A" w:rsidP="00F5712A">
            <w:pPr>
              <w:spacing w:after="0" w:line="240" w:lineRule="auto"/>
              <w:jc w:val="center"/>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40 000,00 €</w:t>
            </w:r>
          </w:p>
        </w:tc>
      </w:tr>
      <w:tr w:rsidR="00F5712A" w:rsidRPr="00F5712A" w:rsidTr="00F5712A">
        <w:trPr>
          <w:trHeight w:val="319"/>
          <w:jc w:val="center"/>
        </w:trPr>
        <w:tc>
          <w:tcPr>
            <w:tcW w:w="4900" w:type="dxa"/>
            <w:tcBorders>
              <w:top w:val="nil"/>
              <w:left w:val="single" w:sz="8" w:space="0" w:color="auto"/>
              <w:bottom w:val="single" w:sz="8" w:space="0" w:color="auto"/>
              <w:right w:val="nil"/>
            </w:tcBorders>
            <w:shd w:val="clear" w:color="auto" w:fill="C4DCEA"/>
            <w:vAlign w:val="center"/>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Renouvellement des bornes incendie</w:t>
            </w:r>
          </w:p>
        </w:tc>
        <w:tc>
          <w:tcPr>
            <w:tcW w:w="1540" w:type="dxa"/>
            <w:tcBorders>
              <w:top w:val="nil"/>
              <w:left w:val="single" w:sz="8" w:space="0" w:color="auto"/>
              <w:bottom w:val="single" w:sz="8" w:space="0" w:color="auto"/>
              <w:right w:val="single" w:sz="8" w:space="0" w:color="auto"/>
            </w:tcBorders>
            <w:shd w:val="clear" w:color="auto" w:fill="C4DCEA"/>
            <w:noWrap/>
            <w:vAlign w:val="center"/>
            <w:hideMark/>
          </w:tcPr>
          <w:p w:rsidR="00F5712A" w:rsidRPr="00F5712A" w:rsidRDefault="00F5712A" w:rsidP="00F5712A">
            <w:pPr>
              <w:spacing w:after="0" w:line="240" w:lineRule="auto"/>
              <w:jc w:val="center"/>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5 000,00 €</w:t>
            </w:r>
          </w:p>
        </w:tc>
      </w:tr>
      <w:tr w:rsidR="00F5712A" w:rsidRPr="00F5712A" w:rsidTr="00F5712A">
        <w:trPr>
          <w:trHeight w:val="315"/>
          <w:jc w:val="center"/>
        </w:trPr>
        <w:tc>
          <w:tcPr>
            <w:tcW w:w="4900" w:type="dxa"/>
            <w:tcBorders>
              <w:top w:val="nil"/>
              <w:left w:val="single" w:sz="8" w:space="0" w:color="auto"/>
              <w:bottom w:val="single" w:sz="8" w:space="0" w:color="auto"/>
              <w:right w:val="nil"/>
            </w:tcBorders>
            <w:shd w:val="clear" w:color="auto" w:fill="E6E6E6"/>
            <w:noWrap/>
            <w:vAlign w:val="bottom"/>
            <w:hideMark/>
          </w:tcPr>
          <w:p w:rsidR="00F5712A" w:rsidRPr="00F5712A" w:rsidRDefault="00F5712A" w:rsidP="00F5712A">
            <w:pPr>
              <w:spacing w:after="0" w:line="240" w:lineRule="auto"/>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TOTAL</w:t>
            </w:r>
          </w:p>
        </w:tc>
        <w:tc>
          <w:tcPr>
            <w:tcW w:w="1540" w:type="dxa"/>
            <w:tcBorders>
              <w:top w:val="nil"/>
              <w:left w:val="single" w:sz="8" w:space="0" w:color="auto"/>
              <w:bottom w:val="single" w:sz="8" w:space="0" w:color="auto"/>
              <w:right w:val="single" w:sz="8"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b/>
                <w:bCs/>
                <w:color w:val="000000"/>
                <w:sz w:val="20"/>
                <w:szCs w:val="20"/>
                <w:lang w:eastAsia="fr-FR"/>
              </w:rPr>
            </w:pPr>
            <w:r w:rsidRPr="00F5712A">
              <w:rPr>
                <w:rFonts w:ascii="Arial" w:eastAsia="Times New Roman" w:hAnsi="Arial" w:cs="Arial"/>
                <w:b/>
                <w:bCs/>
                <w:color w:val="000000"/>
                <w:sz w:val="20"/>
                <w:szCs w:val="20"/>
                <w:lang w:eastAsia="fr-FR"/>
              </w:rPr>
              <w:t>1 117 000,00 €</w:t>
            </w:r>
          </w:p>
        </w:tc>
      </w:tr>
    </w:tbl>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
          <w:bCs/>
          <w:sz w:val="22"/>
          <w:szCs w:val="22"/>
        </w:rPr>
        <w:t>Rénovation du groupe scolaire Ollier (maternelle Ollier) :</w:t>
      </w:r>
      <w:r w:rsidRPr="00F5712A">
        <w:rPr>
          <w:rFonts w:ascii="Arial" w:eastAsia="Calibri" w:hAnsi="Arial" w:cs="Arial"/>
          <w:bCs/>
          <w:sz w:val="22"/>
          <w:szCs w:val="22"/>
        </w:rPr>
        <w:t xml:space="preserve"> </w:t>
      </w:r>
      <w:r w:rsidRPr="00F5712A">
        <w:rPr>
          <w:rFonts w:ascii="Arial" w:eastAsia="Calibri" w:hAnsi="Arial" w:cs="Arial"/>
          <w:b/>
          <w:bCs/>
          <w:sz w:val="22"/>
          <w:szCs w:val="22"/>
        </w:rPr>
        <w:t>35 000 euros</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Réalisé</w:t>
      </w:r>
      <w:r w:rsidRPr="00F5712A">
        <w:rPr>
          <w:rFonts w:ascii="Arial" w:eastAsia="Calibri" w:hAnsi="Arial" w:cs="Arial"/>
          <w:bCs/>
          <w:sz w:val="22"/>
          <w:szCs w:val="22"/>
        </w:rPr>
        <w:t> : changement des huisseries, peinture de classes, réfections des sanitaires du rez-de-chaussée, pose de sols souples, câblage informatique des classes de l’étage.</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A venir en 2019</w:t>
      </w:r>
      <w:r w:rsidRPr="00F5712A">
        <w:rPr>
          <w:rFonts w:ascii="Arial" w:eastAsia="Calibri" w:hAnsi="Arial" w:cs="Arial"/>
          <w:bCs/>
          <w:sz w:val="22"/>
          <w:szCs w:val="22"/>
        </w:rPr>
        <w:t> : réfection des sanitaires de l’étage, isolation thermique des classes de l’étage.</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r w:rsidRPr="00F5712A">
        <w:rPr>
          <w:rFonts w:ascii="Arial" w:eastAsia="Calibri" w:hAnsi="Arial" w:cs="Arial"/>
          <w:b/>
          <w:bCs/>
          <w:sz w:val="22"/>
          <w:szCs w:val="22"/>
        </w:rPr>
        <w:t>Rénovation du groupe scolaire Bayard : 773 000 euros</w:t>
      </w: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Réalisé</w:t>
      </w:r>
      <w:r w:rsidRPr="00F5712A">
        <w:rPr>
          <w:rFonts w:ascii="Arial" w:eastAsia="Calibri" w:hAnsi="Arial" w:cs="Arial"/>
          <w:bCs/>
          <w:sz w:val="22"/>
          <w:szCs w:val="22"/>
        </w:rPr>
        <w:t> :</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i/>
          <w:sz w:val="22"/>
          <w:szCs w:val="22"/>
        </w:rPr>
        <w:t>Elémentaire Bayard :</w:t>
      </w:r>
      <w:r w:rsidRPr="00F5712A">
        <w:rPr>
          <w:rFonts w:ascii="Arial" w:eastAsia="Calibri" w:hAnsi="Arial" w:cs="Arial"/>
          <w:bCs/>
          <w:sz w:val="22"/>
          <w:szCs w:val="22"/>
        </w:rPr>
        <w:t xml:space="preserve"> changement des huisseries, remplacement des faux plafonds, rénovation des classes existantes, rénovation des couloirs, aménagement d’une nouvelle classe à la place d’un ancien appartement, cloisonnement des classes de CP.</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i/>
          <w:sz w:val="22"/>
          <w:szCs w:val="22"/>
        </w:rPr>
        <w:t>Maternelle Bayard :</w:t>
      </w:r>
      <w:r w:rsidRPr="00F5712A">
        <w:rPr>
          <w:rFonts w:ascii="Arial" w:eastAsia="Calibri" w:hAnsi="Arial" w:cs="Arial"/>
          <w:bCs/>
          <w:sz w:val="22"/>
          <w:szCs w:val="22"/>
        </w:rPr>
        <w:t xml:space="preserve"> désamiantage et démolition de l’ancien bâtiment.</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u w:val="single"/>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A venir en 2019</w:t>
      </w:r>
      <w:r w:rsidRPr="00F5712A">
        <w:rPr>
          <w:rFonts w:ascii="Arial" w:eastAsia="Calibri" w:hAnsi="Arial" w:cs="Arial"/>
          <w:bCs/>
          <w:sz w:val="22"/>
          <w:szCs w:val="22"/>
        </w:rPr>
        <w:t> :</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i/>
          <w:sz w:val="22"/>
          <w:szCs w:val="22"/>
        </w:rPr>
        <w:t xml:space="preserve">Elémentaire Bayard : </w:t>
      </w:r>
      <w:r w:rsidRPr="00F5712A">
        <w:rPr>
          <w:rFonts w:ascii="Arial" w:eastAsia="Calibri" w:hAnsi="Arial" w:cs="Arial"/>
          <w:bCs/>
          <w:sz w:val="22"/>
          <w:szCs w:val="22"/>
        </w:rPr>
        <w:t>réfection de la toiture.</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i/>
          <w:sz w:val="22"/>
          <w:szCs w:val="22"/>
        </w:rPr>
        <w:t xml:space="preserve">Maternelle Bayard : </w:t>
      </w:r>
      <w:r w:rsidRPr="00F5712A">
        <w:rPr>
          <w:rFonts w:ascii="Arial" w:eastAsia="Calibri" w:hAnsi="Arial" w:cs="Arial"/>
          <w:bCs/>
          <w:sz w:val="22"/>
          <w:szCs w:val="22"/>
        </w:rPr>
        <w:t>construction de la nouvelle école maternelle.</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r w:rsidRPr="00F5712A">
        <w:rPr>
          <w:rFonts w:ascii="Arial" w:eastAsia="Calibri" w:hAnsi="Arial" w:cs="Arial"/>
          <w:b/>
          <w:bCs/>
          <w:sz w:val="22"/>
          <w:szCs w:val="22"/>
        </w:rPr>
        <w:t>Rénovation de l’école maternelle des Ayencins : 58 800 euros</w:t>
      </w: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lastRenderedPageBreak/>
        <w:t>Réalisé</w:t>
      </w:r>
      <w:r w:rsidRPr="00F5712A">
        <w:rPr>
          <w:rFonts w:ascii="Arial" w:eastAsia="Calibri" w:hAnsi="Arial" w:cs="Arial"/>
          <w:bCs/>
          <w:sz w:val="22"/>
          <w:szCs w:val="22"/>
        </w:rPr>
        <w:t> : changement des huisseries, changement des faux plafonds, peinture des classes, pose de sols souples, reconstruction de la clôture.</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A venir en 2019</w:t>
      </w:r>
      <w:r w:rsidRPr="00F5712A">
        <w:rPr>
          <w:rFonts w:ascii="Arial" w:eastAsia="Calibri" w:hAnsi="Arial" w:cs="Arial"/>
          <w:bCs/>
          <w:sz w:val="22"/>
          <w:szCs w:val="22"/>
        </w:rPr>
        <w:t> : réfection des sanitaires.</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
          <w:bCs/>
          <w:sz w:val="22"/>
          <w:szCs w:val="22"/>
        </w:rPr>
      </w:pPr>
      <w:r w:rsidRPr="00F5712A">
        <w:rPr>
          <w:rFonts w:ascii="Arial" w:eastAsia="Calibri" w:hAnsi="Arial" w:cs="Arial"/>
          <w:b/>
          <w:bCs/>
          <w:sz w:val="22"/>
          <w:szCs w:val="22"/>
        </w:rPr>
        <w:t>Mise en accessibilité des bâtiments communaux : 114 900 euros</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Réalisé</w:t>
      </w:r>
      <w:r w:rsidRPr="00F5712A">
        <w:rPr>
          <w:rFonts w:ascii="Arial" w:eastAsia="Calibri" w:hAnsi="Arial" w:cs="Arial"/>
          <w:bCs/>
          <w:sz w:val="22"/>
          <w:szCs w:val="22"/>
        </w:rPr>
        <w:t xml:space="preserve"> : </w:t>
      </w:r>
      <w:r w:rsidRPr="00F5712A">
        <w:rPr>
          <w:rFonts w:ascii="Arial" w:eastAsia="Calibri" w:hAnsi="Arial" w:cs="Arial"/>
          <w:sz w:val="22"/>
          <w:szCs w:val="22"/>
        </w:rPr>
        <w:t>hôtel de ville, Clairière, poste de police municipale, bibliothèque municipale, école maternelle Ollier, école maternelle des Ayencins, stade synthétique.</w:t>
      </w: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sz w:val="22"/>
          <w:szCs w:val="22"/>
        </w:rPr>
      </w:pPr>
      <w:r w:rsidRPr="00F5712A">
        <w:rPr>
          <w:rFonts w:ascii="Arial" w:eastAsia="Calibri" w:hAnsi="Arial" w:cs="Arial"/>
          <w:bCs/>
          <w:sz w:val="22"/>
          <w:szCs w:val="22"/>
          <w:u w:val="single"/>
        </w:rPr>
        <w:t>A venir en 2019</w:t>
      </w:r>
      <w:r w:rsidRPr="00F5712A">
        <w:rPr>
          <w:rFonts w:ascii="Arial" w:eastAsia="Calibri" w:hAnsi="Arial" w:cs="Arial"/>
          <w:bCs/>
          <w:sz w:val="22"/>
          <w:szCs w:val="22"/>
        </w:rPr>
        <w:t> : s</w:t>
      </w:r>
      <w:r w:rsidRPr="00F5712A">
        <w:rPr>
          <w:rFonts w:ascii="Arial" w:eastAsia="Calibri" w:hAnsi="Arial" w:cs="Arial"/>
          <w:sz w:val="22"/>
          <w:szCs w:val="22"/>
        </w:rPr>
        <w:t>tade 3F ;</w:t>
      </w:r>
      <w:r w:rsidRPr="00F5712A">
        <w:rPr>
          <w:rFonts w:ascii="Arial" w:eastAsia="Calibri" w:hAnsi="Arial" w:cs="Arial"/>
          <w:bCs/>
          <w:sz w:val="22"/>
          <w:szCs w:val="22"/>
        </w:rPr>
        <w:t xml:space="preserve"> é</w:t>
      </w:r>
      <w:r w:rsidRPr="00F5712A">
        <w:rPr>
          <w:rFonts w:ascii="Arial" w:eastAsia="Calibri" w:hAnsi="Arial" w:cs="Arial"/>
          <w:sz w:val="22"/>
          <w:szCs w:val="22"/>
        </w:rPr>
        <w:t>cole élémentaire Bayard, salle Baptiste-Dufeu, gymnase Mandela, gymnase Bayard.</w:t>
      </w: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b/>
          <w:sz w:val="22"/>
          <w:szCs w:val="22"/>
        </w:rPr>
      </w:pPr>
      <w:r w:rsidRPr="00F5712A">
        <w:rPr>
          <w:rFonts w:ascii="Arial" w:eastAsia="Calibri" w:hAnsi="Arial" w:cs="Arial"/>
          <w:b/>
          <w:sz w:val="22"/>
          <w:szCs w:val="22"/>
        </w:rPr>
        <w:t>Dispositif de vidéo-protection : 43 800 euros</w:t>
      </w: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Réalisé</w:t>
      </w:r>
      <w:r w:rsidRPr="00F5712A">
        <w:rPr>
          <w:rFonts w:ascii="Arial" w:eastAsia="Calibri" w:hAnsi="Arial" w:cs="Arial"/>
          <w:bCs/>
          <w:sz w:val="22"/>
          <w:szCs w:val="22"/>
        </w:rPr>
        <w:t> : centre-ville, parkings et secteur de la gare (avec la CCPR).</w:t>
      </w: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p>
    <w:p w:rsidR="00F5712A" w:rsidRPr="00F5712A" w:rsidRDefault="00F5712A" w:rsidP="00F5712A">
      <w:pPr>
        <w:autoSpaceDE w:val="0"/>
        <w:autoSpaceDN w:val="0"/>
        <w:adjustRightInd w:val="0"/>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A venir en 2019</w:t>
      </w:r>
      <w:r w:rsidRPr="00F5712A">
        <w:rPr>
          <w:rFonts w:ascii="Arial" w:eastAsia="Calibri" w:hAnsi="Arial" w:cs="Arial"/>
          <w:bCs/>
          <w:sz w:val="22"/>
          <w:szCs w:val="22"/>
        </w:rPr>
        <w:t> : poursuite du centre-ville, abords des écoles.</w:t>
      </w:r>
    </w:p>
    <w:p w:rsidR="00F5712A" w:rsidRPr="00F5712A" w:rsidRDefault="00F5712A" w:rsidP="00F5712A">
      <w:pPr>
        <w:spacing w:after="0" w:line="240" w:lineRule="auto"/>
        <w:jc w:val="both"/>
        <w:rPr>
          <w:rFonts w:ascii="Arial" w:eastAsia="Calibri" w:hAnsi="Arial" w:cs="Arial"/>
          <w:b/>
          <w:sz w:val="22"/>
          <w:szCs w:val="22"/>
        </w:rPr>
      </w:pPr>
    </w:p>
    <w:p w:rsidR="00F5712A" w:rsidRPr="00F5712A" w:rsidRDefault="00F5712A" w:rsidP="00F5712A">
      <w:pPr>
        <w:spacing w:after="0" w:line="240" w:lineRule="auto"/>
        <w:jc w:val="both"/>
        <w:rPr>
          <w:rFonts w:ascii="Arial" w:eastAsia="Calibri" w:hAnsi="Arial" w:cs="Arial"/>
          <w:b/>
          <w:sz w:val="22"/>
          <w:szCs w:val="22"/>
        </w:rPr>
      </w:pPr>
    </w:p>
    <w:p w:rsidR="00F5712A" w:rsidRPr="00F5712A" w:rsidRDefault="00F5712A" w:rsidP="00F5712A">
      <w:pPr>
        <w:spacing w:after="0" w:line="240" w:lineRule="auto"/>
        <w:jc w:val="both"/>
        <w:rPr>
          <w:rFonts w:ascii="Arial" w:eastAsia="Calibri" w:hAnsi="Arial" w:cs="Arial"/>
          <w:b/>
          <w:sz w:val="22"/>
          <w:szCs w:val="22"/>
        </w:rPr>
      </w:pPr>
      <w:r w:rsidRPr="00F5712A">
        <w:rPr>
          <w:rFonts w:ascii="Arial" w:eastAsia="Calibri" w:hAnsi="Arial" w:cs="Arial"/>
          <w:b/>
          <w:sz w:val="22"/>
          <w:szCs w:val="22"/>
        </w:rPr>
        <w:t>Aménagement du terrain du Grésivaudan : 46 500 euros</w:t>
      </w:r>
    </w:p>
    <w:p w:rsidR="00F5712A" w:rsidRPr="00F5712A" w:rsidRDefault="00F5712A" w:rsidP="00F5712A">
      <w:pPr>
        <w:spacing w:after="0" w:line="240" w:lineRule="auto"/>
        <w:jc w:val="both"/>
        <w:rPr>
          <w:rFonts w:ascii="Arial" w:eastAsia="Calibri" w:hAnsi="Arial" w:cs="Arial"/>
          <w:b/>
          <w:sz w:val="22"/>
          <w:szCs w:val="22"/>
        </w:rPr>
      </w:pPr>
    </w:p>
    <w:p w:rsidR="00F5712A" w:rsidRPr="00F5712A" w:rsidRDefault="00F5712A" w:rsidP="00F5712A">
      <w:pPr>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Réalisé</w:t>
      </w:r>
      <w:r w:rsidRPr="00F5712A">
        <w:rPr>
          <w:rFonts w:ascii="Arial" w:eastAsia="Calibri" w:hAnsi="Arial" w:cs="Arial"/>
          <w:bCs/>
          <w:sz w:val="22"/>
          <w:szCs w:val="22"/>
        </w:rPr>
        <w:t xml:space="preserve"> : </w:t>
      </w:r>
      <w:r w:rsidRPr="00F5712A">
        <w:rPr>
          <w:rFonts w:ascii="Arial" w:eastAsia="Calibri" w:hAnsi="Arial" w:cs="Arial"/>
          <w:sz w:val="22"/>
          <w:szCs w:val="22"/>
        </w:rPr>
        <w:t>défrichement du terrain, clôture côté rue du Grésivaudan.</w:t>
      </w:r>
    </w:p>
    <w:p w:rsidR="00F5712A" w:rsidRPr="00F5712A" w:rsidRDefault="00F5712A" w:rsidP="00F5712A">
      <w:pPr>
        <w:spacing w:after="0" w:line="240" w:lineRule="auto"/>
        <w:jc w:val="both"/>
        <w:rPr>
          <w:rFonts w:ascii="Arial" w:eastAsia="Calibri" w:hAnsi="Arial" w:cs="Arial"/>
          <w:b/>
          <w:sz w:val="22"/>
          <w:szCs w:val="22"/>
        </w:rPr>
      </w:pPr>
    </w:p>
    <w:p w:rsidR="00F5712A" w:rsidRPr="00F5712A" w:rsidRDefault="00F5712A" w:rsidP="00F5712A">
      <w:pPr>
        <w:spacing w:after="0" w:line="240" w:lineRule="auto"/>
        <w:jc w:val="both"/>
        <w:rPr>
          <w:rFonts w:ascii="Arial" w:eastAsia="Calibri" w:hAnsi="Arial" w:cs="Arial"/>
          <w:sz w:val="22"/>
          <w:szCs w:val="22"/>
        </w:rPr>
      </w:pPr>
      <w:r w:rsidRPr="00F5712A">
        <w:rPr>
          <w:rFonts w:ascii="Arial" w:eastAsia="Calibri" w:hAnsi="Arial" w:cs="Arial"/>
          <w:bCs/>
          <w:sz w:val="22"/>
          <w:szCs w:val="22"/>
          <w:u w:val="single"/>
        </w:rPr>
        <w:t>A venir en 2019</w:t>
      </w:r>
      <w:r w:rsidRPr="00F5712A">
        <w:rPr>
          <w:rFonts w:ascii="Arial" w:eastAsia="Calibri" w:hAnsi="Arial" w:cs="Arial"/>
          <w:bCs/>
          <w:sz w:val="22"/>
          <w:szCs w:val="22"/>
        </w:rPr>
        <w:t xml:space="preserve"> : réfection des murs d’enceinte, </w:t>
      </w:r>
      <w:r w:rsidRPr="00F5712A">
        <w:rPr>
          <w:rFonts w:ascii="Arial" w:eastAsia="Calibri" w:hAnsi="Arial" w:cs="Arial"/>
          <w:sz w:val="22"/>
          <w:szCs w:val="22"/>
        </w:rPr>
        <w:t>aménagements intérieurs étudiés avec le conseil citoyen.</w:t>
      </w: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b/>
          <w:sz w:val="22"/>
          <w:szCs w:val="22"/>
        </w:rPr>
      </w:pPr>
      <w:r w:rsidRPr="00F5712A">
        <w:rPr>
          <w:rFonts w:ascii="Arial" w:eastAsia="Calibri" w:hAnsi="Arial" w:cs="Arial"/>
          <w:b/>
          <w:sz w:val="22"/>
          <w:szCs w:val="22"/>
        </w:rPr>
        <w:t>Renouvellement de l’éclairage public : 40 000 euros</w:t>
      </w: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Réalisé</w:t>
      </w:r>
      <w:r w:rsidRPr="00F5712A">
        <w:rPr>
          <w:rFonts w:ascii="Arial" w:eastAsia="Calibri" w:hAnsi="Arial" w:cs="Arial"/>
          <w:bCs/>
          <w:sz w:val="22"/>
          <w:szCs w:val="22"/>
        </w:rPr>
        <w:t xml:space="preserve"> : </w:t>
      </w:r>
      <w:r w:rsidRPr="00F5712A">
        <w:rPr>
          <w:rFonts w:ascii="Arial" w:eastAsia="Calibri" w:hAnsi="Arial" w:cs="Arial"/>
          <w:sz w:val="22"/>
          <w:szCs w:val="22"/>
        </w:rPr>
        <w:t>route de Sablons, rue de la Cerisaie, chemin des Ayencins, rue du 4 septembre, rue des Vignerons, impasse Double, rue des Vêpres, rue des Iles, pont Neuf, rue Lavoisier, croisement rues de Savoie et du Vivarais, rue du Dauphiné, rue de Bourgogne.</w:t>
      </w:r>
      <w:r w:rsidRPr="00F5712A">
        <w:rPr>
          <w:rFonts w:ascii="Arial" w:eastAsia="Calibri" w:hAnsi="Arial" w:cs="Arial"/>
          <w:b/>
          <w:sz w:val="22"/>
          <w:szCs w:val="22"/>
        </w:rPr>
        <w:t xml:space="preserve"> </w:t>
      </w:r>
    </w:p>
    <w:p w:rsidR="00F5712A" w:rsidRPr="00F5712A" w:rsidRDefault="00F5712A" w:rsidP="00F5712A">
      <w:pPr>
        <w:spacing w:after="0" w:line="240" w:lineRule="auto"/>
        <w:jc w:val="both"/>
        <w:rPr>
          <w:rFonts w:ascii="Arial" w:eastAsia="Calibri" w:hAnsi="Arial" w:cs="Arial"/>
          <w:b/>
          <w:sz w:val="22"/>
          <w:szCs w:val="22"/>
        </w:rPr>
      </w:pPr>
    </w:p>
    <w:p w:rsidR="00F5712A" w:rsidRPr="00F5712A" w:rsidRDefault="00F5712A" w:rsidP="00F5712A">
      <w:pPr>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A venir en 2019</w:t>
      </w:r>
      <w:r w:rsidRPr="00F5712A">
        <w:rPr>
          <w:rFonts w:ascii="Arial" w:eastAsia="Calibri" w:hAnsi="Arial" w:cs="Arial"/>
          <w:bCs/>
          <w:sz w:val="22"/>
          <w:szCs w:val="22"/>
        </w:rPr>
        <w:t> : place Paul-Morand et rue Neuve.</w:t>
      </w:r>
    </w:p>
    <w:p w:rsidR="00F5712A" w:rsidRPr="00F5712A" w:rsidRDefault="00F5712A" w:rsidP="00F5712A">
      <w:pPr>
        <w:spacing w:after="0" w:line="240" w:lineRule="auto"/>
        <w:jc w:val="both"/>
        <w:rPr>
          <w:rFonts w:ascii="Arial" w:eastAsia="Calibri" w:hAnsi="Arial" w:cs="Arial"/>
          <w:bCs/>
          <w:sz w:val="22"/>
          <w:szCs w:val="22"/>
        </w:rPr>
      </w:pP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b/>
          <w:sz w:val="22"/>
          <w:szCs w:val="22"/>
        </w:rPr>
      </w:pPr>
      <w:r w:rsidRPr="00F5712A">
        <w:rPr>
          <w:rFonts w:ascii="Arial" w:eastAsia="Calibri" w:hAnsi="Arial" w:cs="Arial"/>
          <w:b/>
          <w:sz w:val="22"/>
          <w:szCs w:val="22"/>
        </w:rPr>
        <w:t>Renouvellement des bornes incendie : 5 000 euros</w:t>
      </w:r>
    </w:p>
    <w:p w:rsidR="00F5712A" w:rsidRPr="00F5712A" w:rsidRDefault="00F5712A" w:rsidP="00F5712A">
      <w:pPr>
        <w:spacing w:after="0" w:line="240" w:lineRule="auto"/>
        <w:jc w:val="both"/>
        <w:rPr>
          <w:rFonts w:ascii="Arial" w:eastAsia="Calibri" w:hAnsi="Arial" w:cs="Arial"/>
          <w:b/>
          <w:sz w:val="22"/>
          <w:szCs w:val="22"/>
        </w:rPr>
      </w:pPr>
    </w:p>
    <w:p w:rsidR="00F5712A" w:rsidRPr="00F5712A" w:rsidRDefault="00F5712A" w:rsidP="00F5712A">
      <w:pPr>
        <w:spacing w:after="0" w:line="240" w:lineRule="auto"/>
        <w:jc w:val="both"/>
        <w:rPr>
          <w:rFonts w:ascii="Arial" w:eastAsia="Calibri" w:hAnsi="Arial" w:cs="Arial"/>
          <w:bCs/>
          <w:sz w:val="22"/>
          <w:szCs w:val="22"/>
        </w:rPr>
      </w:pPr>
      <w:r w:rsidRPr="00F5712A">
        <w:rPr>
          <w:rFonts w:ascii="Arial" w:eastAsia="Calibri" w:hAnsi="Arial" w:cs="Arial"/>
          <w:bCs/>
          <w:sz w:val="22"/>
          <w:szCs w:val="22"/>
          <w:u w:val="single"/>
        </w:rPr>
        <w:t>Réalisé</w:t>
      </w:r>
      <w:r w:rsidRPr="00F5712A">
        <w:rPr>
          <w:rFonts w:ascii="Arial" w:eastAsia="Calibri" w:hAnsi="Arial" w:cs="Arial"/>
          <w:bCs/>
          <w:sz w:val="22"/>
          <w:szCs w:val="22"/>
        </w:rPr>
        <w:t xml:space="preserve"> : </w:t>
      </w:r>
      <w:r w:rsidRPr="00F5712A">
        <w:rPr>
          <w:rFonts w:ascii="Arial" w:eastAsia="Calibri" w:hAnsi="Arial" w:cs="Arial"/>
          <w:sz w:val="22"/>
          <w:szCs w:val="22"/>
        </w:rPr>
        <w:t>place Charles de Gaulle, rue des Plaines, rue des Iles, angle rue Garilland/rue Bellefontaine, rue des Vêpres, rue de la République, allée Pierre-Cot, rue Lavoisier.</w:t>
      </w: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spacing w:after="0" w:line="240" w:lineRule="auto"/>
        <w:jc w:val="both"/>
        <w:rPr>
          <w:rFonts w:ascii="Arial" w:eastAsia="Calibri" w:hAnsi="Arial" w:cs="Arial"/>
          <w:sz w:val="22"/>
          <w:szCs w:val="22"/>
        </w:rPr>
      </w:pPr>
      <w:r w:rsidRPr="00F5712A">
        <w:rPr>
          <w:rFonts w:ascii="Arial" w:eastAsia="Calibri" w:hAnsi="Arial" w:cs="Arial"/>
          <w:sz w:val="22"/>
          <w:szCs w:val="22"/>
          <w:u w:val="single"/>
        </w:rPr>
        <w:t>A venir en 2019</w:t>
      </w:r>
      <w:r w:rsidRPr="00F5712A">
        <w:rPr>
          <w:rFonts w:ascii="Arial" w:eastAsia="Calibri" w:hAnsi="Arial" w:cs="Arial"/>
          <w:sz w:val="22"/>
          <w:szCs w:val="22"/>
        </w:rPr>
        <w:t> : rue du Limousin, rue Emile-Zola/allée des Genêts, place Paul-Morand/rue du Stade, rue de Gampaloup, rue des Plaines/rue des Sources, Les Blaches/chemin du Bas Turral.</w:t>
      </w:r>
    </w:p>
    <w:p w:rsidR="00F5712A" w:rsidRDefault="00F5712A" w:rsidP="00F5712A">
      <w:pPr>
        <w:tabs>
          <w:tab w:val="left" w:pos="4034"/>
        </w:tabs>
        <w:spacing w:after="0" w:line="240" w:lineRule="auto"/>
        <w:rPr>
          <w:rFonts w:ascii="Arial" w:eastAsia="Times New Roman" w:hAnsi="Arial" w:cs="Arial"/>
          <w:sz w:val="20"/>
          <w:szCs w:val="20"/>
          <w:lang w:eastAsia="zh-CN"/>
        </w:rPr>
      </w:pPr>
    </w:p>
    <w:p w:rsidR="00F5712A" w:rsidRPr="00F5712A" w:rsidRDefault="00F5712A" w:rsidP="00F5712A">
      <w:pPr>
        <w:tabs>
          <w:tab w:val="left" w:pos="4034"/>
        </w:tabs>
        <w:spacing w:after="0" w:line="240" w:lineRule="auto"/>
        <w:rPr>
          <w:rFonts w:ascii="Arial" w:eastAsia="Times New Roman" w:hAnsi="Arial" w:cs="Arial"/>
          <w:b/>
          <w:color w:val="000000"/>
          <w:sz w:val="22"/>
          <w:szCs w:val="22"/>
          <w:lang w:eastAsia="zh-CN"/>
        </w:rPr>
      </w:pPr>
      <w:r w:rsidRPr="00F5712A">
        <w:rPr>
          <w:rFonts w:ascii="Arial" w:eastAsia="Times New Roman" w:hAnsi="Arial" w:cs="Arial"/>
          <w:b/>
          <w:color w:val="000000"/>
          <w:sz w:val="22"/>
          <w:szCs w:val="22"/>
          <w:lang w:eastAsia="zh-CN"/>
        </w:rPr>
        <w:t>Les projets d’investissement annuels :</w:t>
      </w:r>
    </w:p>
    <w:p w:rsidR="00F5712A" w:rsidRPr="00F5712A" w:rsidRDefault="00F5712A" w:rsidP="00F5712A">
      <w:pPr>
        <w:spacing w:after="0" w:line="240" w:lineRule="auto"/>
        <w:jc w:val="both"/>
        <w:rPr>
          <w:rFonts w:ascii="Arial" w:eastAsia="Times New Roman" w:hAnsi="Arial" w:cs="Arial"/>
          <w:color w:val="000000"/>
          <w:sz w:val="22"/>
          <w:szCs w:val="22"/>
          <w:lang w:eastAsia="zh-CN"/>
        </w:rPr>
      </w:pPr>
    </w:p>
    <w:p w:rsidR="00F5712A" w:rsidRDefault="00F5712A" w:rsidP="00F5712A">
      <w:pPr>
        <w:tabs>
          <w:tab w:val="left" w:pos="1190"/>
          <w:tab w:val="decimal" w:pos="8051"/>
        </w:tabs>
        <w:autoSpaceDE w:val="0"/>
        <w:autoSpaceDN w:val="0"/>
        <w:adjustRightInd w:val="0"/>
        <w:spacing w:after="0" w:line="240" w:lineRule="auto"/>
        <w:jc w:val="both"/>
        <w:rPr>
          <w:rFonts w:ascii="Arial" w:eastAsia="Times New Roman" w:hAnsi="Arial" w:cs="Arial"/>
          <w:bCs/>
          <w:sz w:val="22"/>
          <w:szCs w:val="22"/>
          <w:lang w:eastAsia="zh-CN"/>
        </w:rPr>
      </w:pPr>
      <w:r w:rsidRPr="00F5712A">
        <w:rPr>
          <w:rFonts w:ascii="Arial" w:eastAsia="Times New Roman" w:hAnsi="Arial" w:cs="Arial"/>
          <w:bCs/>
          <w:sz w:val="22"/>
          <w:szCs w:val="22"/>
          <w:lang w:eastAsia="zh-CN"/>
        </w:rPr>
        <w:t>Des projets d’investissement annuels s’ajouteraient aux investissements pluriannuels, parmi lesquels ceux qui sont nécessaires au maintien et au renouvellement du patrimoine communal. Les crédits qui pourraient être consacrés à ces investissements annuels sont estimés dans le tableau suivant, à l’appui de la moyenne des investissements réalisés en la matière, hors investissements pluriannuels, au cours des exercices passés et en fonction d’un volume de dépenses soutenables par le budget communal.</w:t>
      </w:r>
    </w:p>
    <w:p w:rsidR="001B621E" w:rsidRDefault="001B621E" w:rsidP="00F5712A">
      <w:pPr>
        <w:tabs>
          <w:tab w:val="left" w:pos="1190"/>
          <w:tab w:val="decimal" w:pos="8051"/>
        </w:tabs>
        <w:autoSpaceDE w:val="0"/>
        <w:autoSpaceDN w:val="0"/>
        <w:adjustRightInd w:val="0"/>
        <w:spacing w:after="0" w:line="240" w:lineRule="auto"/>
        <w:jc w:val="both"/>
        <w:rPr>
          <w:rFonts w:ascii="Arial" w:eastAsia="Times New Roman" w:hAnsi="Arial" w:cs="Arial"/>
          <w:bCs/>
          <w:sz w:val="22"/>
          <w:szCs w:val="22"/>
          <w:lang w:eastAsia="zh-CN"/>
        </w:rPr>
      </w:pPr>
    </w:p>
    <w:p w:rsidR="001B621E" w:rsidRPr="00F5712A" w:rsidRDefault="001B621E" w:rsidP="00F5712A">
      <w:pPr>
        <w:tabs>
          <w:tab w:val="left" w:pos="1190"/>
          <w:tab w:val="decimal" w:pos="8051"/>
        </w:tabs>
        <w:autoSpaceDE w:val="0"/>
        <w:autoSpaceDN w:val="0"/>
        <w:adjustRightInd w:val="0"/>
        <w:spacing w:after="0" w:line="240" w:lineRule="auto"/>
        <w:jc w:val="both"/>
        <w:rPr>
          <w:rFonts w:ascii="Arial" w:eastAsia="Times New Roman" w:hAnsi="Arial" w:cs="Arial"/>
          <w:bCs/>
          <w:color w:val="0070C0"/>
          <w:sz w:val="22"/>
          <w:szCs w:val="22"/>
          <w:lang w:eastAsia="zh-CN"/>
        </w:rPr>
      </w:pPr>
    </w:p>
    <w:p w:rsidR="00F5712A" w:rsidRPr="00F5712A" w:rsidRDefault="00F5712A" w:rsidP="00F5712A">
      <w:pPr>
        <w:spacing w:after="0" w:line="240" w:lineRule="auto"/>
        <w:jc w:val="both"/>
        <w:rPr>
          <w:rFonts w:ascii="Arial" w:eastAsia="Calibri" w:hAnsi="Arial" w:cs="Arial"/>
          <w:b/>
          <w:bCs/>
          <w:iCs/>
          <w:sz w:val="22"/>
          <w:szCs w:val="22"/>
          <w:u w:val="single"/>
        </w:rPr>
      </w:pPr>
    </w:p>
    <w:tbl>
      <w:tblPr>
        <w:tblW w:w="9830" w:type="dxa"/>
        <w:tblCellMar>
          <w:left w:w="70" w:type="dxa"/>
          <w:right w:w="70" w:type="dxa"/>
        </w:tblCellMar>
        <w:tblLook w:val="04A0" w:firstRow="1" w:lastRow="0" w:firstColumn="1" w:lastColumn="0" w:noHBand="0" w:noVBand="1"/>
      </w:tblPr>
      <w:tblGrid>
        <w:gridCol w:w="7883"/>
        <w:gridCol w:w="1947"/>
      </w:tblGrid>
      <w:tr w:rsidR="00F5712A" w:rsidRPr="00F5712A" w:rsidTr="00F5712A">
        <w:trPr>
          <w:trHeight w:val="287"/>
        </w:trPr>
        <w:tc>
          <w:tcPr>
            <w:tcW w:w="7883" w:type="dxa"/>
            <w:tcBorders>
              <w:top w:val="single" w:sz="4" w:space="0" w:color="auto"/>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i/>
                <w:iCs/>
                <w:color w:val="FFFFFF"/>
                <w:sz w:val="20"/>
                <w:szCs w:val="20"/>
                <w:lang w:val="en-US" w:eastAsia="fr-FR"/>
              </w:rPr>
            </w:pPr>
            <w:r w:rsidRPr="00F5712A">
              <w:rPr>
                <w:rFonts w:ascii="Arial" w:eastAsia="Times New Roman" w:hAnsi="Arial" w:cs="Arial"/>
                <w:b/>
                <w:bCs/>
                <w:i/>
                <w:iCs/>
                <w:color w:val="FFFFFF"/>
                <w:sz w:val="20"/>
                <w:szCs w:val="20"/>
                <w:lang w:val="en-US" w:eastAsia="fr-FR"/>
              </w:rPr>
              <w:lastRenderedPageBreak/>
              <w:t>Catégories d'investissement</w:t>
            </w:r>
          </w:p>
        </w:tc>
        <w:tc>
          <w:tcPr>
            <w:tcW w:w="1947" w:type="dxa"/>
            <w:tcBorders>
              <w:top w:val="single" w:sz="4" w:space="0" w:color="auto"/>
              <w:left w:val="nil"/>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i/>
                <w:iCs/>
                <w:color w:val="FFFFFF"/>
                <w:sz w:val="20"/>
                <w:szCs w:val="20"/>
                <w:lang w:val="en-US" w:eastAsia="fr-FR"/>
              </w:rPr>
            </w:pPr>
            <w:r w:rsidRPr="00F5712A">
              <w:rPr>
                <w:rFonts w:ascii="Arial" w:eastAsia="Times New Roman" w:hAnsi="Arial" w:cs="Arial"/>
                <w:b/>
                <w:bCs/>
                <w:i/>
                <w:iCs/>
                <w:color w:val="FFFFFF"/>
                <w:sz w:val="20"/>
                <w:szCs w:val="20"/>
                <w:lang w:val="en-US" w:eastAsia="fr-FR"/>
              </w:rPr>
              <w:t>Montant</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ETUDES</w:t>
            </w:r>
          </w:p>
        </w:tc>
        <w:tc>
          <w:tcPr>
            <w:tcW w:w="1947" w:type="dxa"/>
            <w:tcBorders>
              <w:top w:val="nil"/>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39 000,00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LOGICIELS ET LICENCES</w:t>
            </w:r>
          </w:p>
        </w:tc>
        <w:tc>
          <w:tcPr>
            <w:tcW w:w="1947" w:type="dxa"/>
            <w:tcBorders>
              <w:top w:val="nil"/>
              <w:left w:val="nil"/>
              <w:bottom w:val="single" w:sz="4" w:space="0" w:color="auto"/>
              <w:right w:val="single" w:sz="4"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7 000,00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AMENAGEMENT DE TERRAINS</w:t>
            </w:r>
          </w:p>
        </w:tc>
        <w:tc>
          <w:tcPr>
            <w:tcW w:w="1947" w:type="dxa"/>
            <w:tcBorders>
              <w:top w:val="nil"/>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28 000,00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PLANTATIONS ESPACES VERTS</w:t>
            </w:r>
          </w:p>
        </w:tc>
        <w:tc>
          <w:tcPr>
            <w:tcW w:w="1947" w:type="dxa"/>
            <w:tcBorders>
              <w:top w:val="nil"/>
              <w:left w:val="nil"/>
              <w:bottom w:val="single" w:sz="4" w:space="0" w:color="auto"/>
              <w:right w:val="single" w:sz="4"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5 000,00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HOTEL DE VILLE</w:t>
            </w:r>
          </w:p>
        </w:tc>
        <w:tc>
          <w:tcPr>
            <w:tcW w:w="1947" w:type="dxa"/>
            <w:tcBorders>
              <w:top w:val="nil"/>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17 000,00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eastAsia="fr-FR"/>
              </w:rPr>
            </w:pPr>
            <w:r w:rsidRPr="00F5712A">
              <w:rPr>
                <w:rFonts w:ascii="Arial" w:eastAsia="Times New Roman" w:hAnsi="Arial" w:cs="Arial"/>
                <w:b/>
                <w:bCs/>
                <w:color w:val="FFFFFF"/>
                <w:sz w:val="20"/>
                <w:szCs w:val="20"/>
                <w:lang w:eastAsia="fr-FR"/>
              </w:rPr>
              <w:t>BATIMENTS DIVERS ET BATIMENTS SPORTIFS</w:t>
            </w:r>
          </w:p>
        </w:tc>
        <w:tc>
          <w:tcPr>
            <w:tcW w:w="1947" w:type="dxa"/>
            <w:tcBorders>
              <w:top w:val="nil"/>
              <w:left w:val="nil"/>
              <w:bottom w:val="single" w:sz="4" w:space="0" w:color="auto"/>
              <w:right w:val="single" w:sz="4"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63 000,00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BATIMENTS SCOLAIRES</w:t>
            </w:r>
          </w:p>
        </w:tc>
        <w:tc>
          <w:tcPr>
            <w:tcW w:w="1947" w:type="dxa"/>
            <w:tcBorders>
              <w:top w:val="nil"/>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20 000,00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VOIRIE</w:t>
            </w:r>
          </w:p>
        </w:tc>
        <w:tc>
          <w:tcPr>
            <w:tcW w:w="1947" w:type="dxa"/>
            <w:tcBorders>
              <w:top w:val="nil"/>
              <w:left w:val="nil"/>
              <w:bottom w:val="single" w:sz="4" w:space="0" w:color="auto"/>
              <w:right w:val="single" w:sz="4"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32 000,00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ECLAIRAGE PUBLIC</w:t>
            </w:r>
          </w:p>
        </w:tc>
        <w:tc>
          <w:tcPr>
            <w:tcW w:w="1947" w:type="dxa"/>
            <w:tcBorders>
              <w:top w:val="nil"/>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14 000,00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AUTRES RESEAUX</w:t>
            </w:r>
          </w:p>
        </w:tc>
        <w:tc>
          <w:tcPr>
            <w:tcW w:w="1947" w:type="dxa"/>
            <w:tcBorders>
              <w:top w:val="nil"/>
              <w:left w:val="nil"/>
              <w:bottom w:val="single" w:sz="4" w:space="0" w:color="auto"/>
              <w:right w:val="single" w:sz="4"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7 000,00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VEHICULES</w:t>
            </w:r>
          </w:p>
        </w:tc>
        <w:tc>
          <w:tcPr>
            <w:tcW w:w="1947" w:type="dxa"/>
            <w:tcBorders>
              <w:top w:val="nil"/>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43 000,00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MATERIEL INFORMATIQUE</w:t>
            </w:r>
          </w:p>
        </w:tc>
        <w:tc>
          <w:tcPr>
            <w:tcW w:w="1947" w:type="dxa"/>
            <w:tcBorders>
              <w:top w:val="nil"/>
              <w:left w:val="nil"/>
              <w:bottom w:val="single" w:sz="4" w:space="0" w:color="auto"/>
              <w:right w:val="single" w:sz="4"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25 000,00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MOBILIER</w:t>
            </w:r>
          </w:p>
        </w:tc>
        <w:tc>
          <w:tcPr>
            <w:tcW w:w="1947" w:type="dxa"/>
            <w:tcBorders>
              <w:top w:val="nil"/>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9 000,00</w:t>
            </w:r>
          </w:p>
        </w:tc>
      </w:tr>
      <w:tr w:rsidR="00F5712A" w:rsidRPr="00F5712A" w:rsidTr="00F5712A">
        <w:trPr>
          <w:trHeight w:val="287"/>
        </w:trPr>
        <w:tc>
          <w:tcPr>
            <w:tcW w:w="7883" w:type="dxa"/>
            <w:tcBorders>
              <w:top w:val="nil"/>
              <w:left w:val="single" w:sz="4" w:space="0" w:color="auto"/>
              <w:bottom w:val="single" w:sz="4" w:space="0" w:color="auto"/>
              <w:right w:val="single" w:sz="4" w:space="0" w:color="auto"/>
            </w:tcBorders>
            <w:shd w:val="clear" w:color="auto" w:fill="005C73"/>
            <w:noWrap/>
            <w:vAlign w:val="bottom"/>
            <w:hideMark/>
          </w:tcPr>
          <w:p w:rsidR="00F5712A" w:rsidRPr="00F5712A" w:rsidRDefault="00F5712A" w:rsidP="00F5712A">
            <w:pPr>
              <w:spacing w:after="0" w:line="240" w:lineRule="auto"/>
              <w:jc w:val="center"/>
              <w:rPr>
                <w:rFonts w:ascii="Arial" w:eastAsia="Times New Roman" w:hAnsi="Arial" w:cs="Arial"/>
                <w:b/>
                <w:bCs/>
                <w:color w:val="FFFFFF"/>
                <w:sz w:val="20"/>
                <w:szCs w:val="20"/>
                <w:lang w:val="en-US" w:eastAsia="fr-FR"/>
              </w:rPr>
            </w:pPr>
            <w:r w:rsidRPr="00F5712A">
              <w:rPr>
                <w:rFonts w:ascii="Arial" w:eastAsia="Times New Roman" w:hAnsi="Arial" w:cs="Arial"/>
                <w:b/>
                <w:bCs/>
                <w:color w:val="FFFFFF"/>
                <w:sz w:val="20"/>
                <w:szCs w:val="20"/>
                <w:lang w:val="en-US" w:eastAsia="fr-FR"/>
              </w:rPr>
              <w:t>MATERIEL ET OUTILLAGE DIVERS</w:t>
            </w:r>
          </w:p>
        </w:tc>
        <w:tc>
          <w:tcPr>
            <w:tcW w:w="1947" w:type="dxa"/>
            <w:tcBorders>
              <w:top w:val="nil"/>
              <w:left w:val="nil"/>
              <w:bottom w:val="single" w:sz="4" w:space="0" w:color="auto"/>
              <w:right w:val="single" w:sz="4" w:space="0" w:color="auto"/>
            </w:tcBorders>
            <w:shd w:val="clear" w:color="auto" w:fill="E6E6E6"/>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49 000,00</w:t>
            </w:r>
          </w:p>
        </w:tc>
      </w:tr>
      <w:tr w:rsidR="00F5712A" w:rsidRPr="00F5712A" w:rsidTr="00F5712A">
        <w:trPr>
          <w:trHeight w:val="287"/>
        </w:trPr>
        <w:tc>
          <w:tcPr>
            <w:tcW w:w="7883" w:type="dxa"/>
            <w:tcBorders>
              <w:top w:val="nil"/>
              <w:left w:val="nil"/>
              <w:bottom w:val="nil"/>
              <w:right w:val="nil"/>
            </w:tcBorders>
            <w:shd w:val="clear" w:color="auto" w:fill="auto"/>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p>
        </w:tc>
        <w:tc>
          <w:tcPr>
            <w:tcW w:w="1947" w:type="dxa"/>
            <w:tcBorders>
              <w:top w:val="nil"/>
              <w:left w:val="nil"/>
              <w:bottom w:val="nil"/>
              <w:right w:val="nil"/>
            </w:tcBorders>
            <w:shd w:val="clear" w:color="auto" w:fill="auto"/>
            <w:noWrap/>
            <w:vAlign w:val="bottom"/>
            <w:hideMark/>
          </w:tcPr>
          <w:p w:rsidR="00F5712A" w:rsidRPr="00F5712A" w:rsidRDefault="00F5712A" w:rsidP="00F5712A">
            <w:pPr>
              <w:spacing w:after="0" w:line="240" w:lineRule="auto"/>
              <w:rPr>
                <w:rFonts w:ascii="Times New Roman" w:eastAsia="Times New Roman" w:hAnsi="Times New Roman" w:cs="Times New Roman"/>
                <w:sz w:val="20"/>
                <w:szCs w:val="20"/>
                <w:lang w:val="en-US" w:eastAsia="fr-FR"/>
              </w:rPr>
            </w:pPr>
          </w:p>
        </w:tc>
      </w:tr>
      <w:tr w:rsidR="00F5712A" w:rsidRPr="00F5712A" w:rsidTr="00F5712A">
        <w:trPr>
          <w:trHeight w:val="287"/>
        </w:trPr>
        <w:tc>
          <w:tcPr>
            <w:tcW w:w="7883" w:type="dxa"/>
            <w:tcBorders>
              <w:top w:val="single" w:sz="4" w:space="0" w:color="auto"/>
              <w:left w:val="single" w:sz="4" w:space="0" w:color="auto"/>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rPr>
                <w:rFonts w:ascii="Arial" w:eastAsia="Times New Roman" w:hAnsi="Arial" w:cs="Arial"/>
                <w:b/>
                <w:bCs/>
                <w:sz w:val="20"/>
                <w:szCs w:val="20"/>
                <w:lang w:val="en-US" w:eastAsia="fr-FR"/>
              </w:rPr>
            </w:pPr>
            <w:r w:rsidRPr="00F5712A">
              <w:rPr>
                <w:rFonts w:ascii="Arial" w:eastAsia="Times New Roman" w:hAnsi="Arial" w:cs="Arial"/>
                <w:b/>
                <w:bCs/>
                <w:sz w:val="20"/>
                <w:szCs w:val="20"/>
                <w:lang w:val="en-US" w:eastAsia="fr-FR"/>
              </w:rPr>
              <w:t>TOTAL général</w:t>
            </w:r>
          </w:p>
        </w:tc>
        <w:tc>
          <w:tcPr>
            <w:tcW w:w="1947" w:type="dxa"/>
            <w:tcBorders>
              <w:top w:val="single" w:sz="4" w:space="0" w:color="auto"/>
              <w:left w:val="nil"/>
              <w:bottom w:val="single" w:sz="4" w:space="0" w:color="auto"/>
              <w:right w:val="single" w:sz="4" w:space="0" w:color="auto"/>
            </w:tcBorders>
            <w:shd w:val="clear" w:color="auto" w:fill="C4DCEA"/>
            <w:noWrap/>
            <w:vAlign w:val="bottom"/>
            <w:hideMark/>
          </w:tcPr>
          <w:p w:rsidR="00F5712A" w:rsidRPr="00F5712A" w:rsidRDefault="00F5712A" w:rsidP="00F5712A">
            <w:pPr>
              <w:spacing w:after="0" w:line="240" w:lineRule="auto"/>
              <w:jc w:val="center"/>
              <w:rPr>
                <w:rFonts w:ascii="Arial" w:eastAsia="Times New Roman" w:hAnsi="Arial" w:cs="Arial"/>
                <w:sz w:val="20"/>
                <w:szCs w:val="20"/>
                <w:lang w:val="en-US" w:eastAsia="fr-FR"/>
              </w:rPr>
            </w:pPr>
            <w:r w:rsidRPr="00F5712A">
              <w:rPr>
                <w:rFonts w:ascii="Arial" w:eastAsia="Times New Roman" w:hAnsi="Arial" w:cs="Arial"/>
                <w:sz w:val="20"/>
                <w:szCs w:val="20"/>
                <w:lang w:val="en-US" w:eastAsia="fr-FR"/>
              </w:rPr>
              <w:t>358 000,00</w:t>
            </w:r>
          </w:p>
        </w:tc>
      </w:tr>
    </w:tbl>
    <w:p w:rsidR="00F5712A" w:rsidRPr="00F5712A" w:rsidRDefault="00F5712A" w:rsidP="00F5712A">
      <w:pPr>
        <w:spacing w:after="0" w:line="240" w:lineRule="auto"/>
        <w:jc w:val="both"/>
        <w:rPr>
          <w:rFonts w:ascii="Arial" w:eastAsia="Calibri" w:hAnsi="Arial" w:cs="Arial"/>
          <w:b/>
          <w:bCs/>
          <w:iCs/>
          <w:sz w:val="22"/>
          <w:szCs w:val="22"/>
          <w:u w:val="single"/>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u w:val="single"/>
        </w:rPr>
        <w:t>Exemples par catégories d’investissements annuels</w:t>
      </w:r>
      <w:r w:rsidRPr="00F5712A">
        <w:rPr>
          <w:rFonts w:ascii="Arial" w:eastAsia="Calibri" w:hAnsi="Arial" w:cs="Arial"/>
          <w:b/>
          <w:bCs/>
          <w:iCs/>
          <w:sz w:val="22"/>
          <w:szCs w:val="22"/>
        </w:rPr>
        <w:t> :</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ETUDES</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Poursuite de la maîtrise d’œuvre de l’école maternelle Bayard.</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AMENAGEMENT DE TERRAINS</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Réaménagement de l’espace des Bourdines.</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PLANTATIONS ESPACES VERTS</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Aménagement de nouveaux massifs, par exemple d’un massif rue Lavoisier.</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HOTEL DE VILLE</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Réaménagement de l’accueil de l’hôtel de ville.</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BATIMENTS DIVERS ET BATIMENTS SPORTIFS</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Réfection du gymnase du groupe scolaire Ollier.</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BATIMENTS SCOLAIRES</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Réfection du restaurant scolaire Ollier.</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VOIRIE</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Réaménagement de la place Paul-Morand.</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ECLAIRAGE PUBLIC</w:t>
      </w:r>
    </w:p>
    <w:p w:rsid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Installation de nouveaux candélabres pour éliminer les « zones noires ».</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VEHICULES</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Renouvellement d’un véhicule du service espaces verts.</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MATERIEL INFORMATIQUE</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Renouvellement progressif du matériel informatique des écoles et remplacement progressif des postes informatiques par des postes « clients légers ».</w:t>
      </w: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MOBILIER</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Renouvellement progressif du mobilier des écoles.</w:t>
      </w:r>
    </w:p>
    <w:p w:rsidR="00F5712A" w:rsidRPr="00F5712A" w:rsidRDefault="00F5712A" w:rsidP="00F5712A">
      <w:pPr>
        <w:spacing w:after="0" w:line="240" w:lineRule="auto"/>
        <w:jc w:val="both"/>
        <w:rPr>
          <w:rFonts w:ascii="Arial" w:eastAsia="Calibri" w:hAnsi="Arial" w:cs="Arial"/>
          <w:bCs/>
          <w:iCs/>
          <w:sz w:val="22"/>
          <w:szCs w:val="22"/>
        </w:rPr>
      </w:pPr>
    </w:p>
    <w:p w:rsidR="00F5712A" w:rsidRPr="00F5712A" w:rsidRDefault="00F5712A" w:rsidP="00F5712A">
      <w:pPr>
        <w:spacing w:after="0" w:line="240" w:lineRule="auto"/>
        <w:jc w:val="both"/>
        <w:rPr>
          <w:rFonts w:ascii="Arial" w:eastAsia="Calibri" w:hAnsi="Arial" w:cs="Arial"/>
          <w:b/>
          <w:bCs/>
          <w:iCs/>
          <w:sz w:val="22"/>
          <w:szCs w:val="22"/>
        </w:rPr>
      </w:pPr>
      <w:r w:rsidRPr="00F5712A">
        <w:rPr>
          <w:rFonts w:ascii="Arial" w:eastAsia="Calibri" w:hAnsi="Arial" w:cs="Arial"/>
          <w:b/>
          <w:bCs/>
          <w:iCs/>
          <w:sz w:val="22"/>
          <w:szCs w:val="22"/>
        </w:rPr>
        <w:t>MATERIEL ET OUTILLAGE DIVERS</w:t>
      </w:r>
    </w:p>
    <w:p w:rsidR="00F5712A" w:rsidRPr="00F5712A" w:rsidRDefault="00F5712A" w:rsidP="00F5712A">
      <w:pPr>
        <w:spacing w:after="0" w:line="240" w:lineRule="auto"/>
        <w:jc w:val="both"/>
        <w:rPr>
          <w:rFonts w:ascii="Arial" w:eastAsia="Calibri" w:hAnsi="Arial" w:cs="Arial"/>
          <w:bCs/>
          <w:iCs/>
          <w:sz w:val="22"/>
          <w:szCs w:val="22"/>
        </w:rPr>
      </w:pPr>
      <w:r w:rsidRPr="00F5712A">
        <w:rPr>
          <w:rFonts w:ascii="Arial" w:eastAsia="Calibri" w:hAnsi="Arial" w:cs="Arial"/>
          <w:bCs/>
          <w:iCs/>
          <w:sz w:val="22"/>
          <w:szCs w:val="22"/>
        </w:rPr>
        <w:t>Achat de matériel de désherbage conforme au label « zéro phyto ».</w:t>
      </w:r>
    </w:p>
    <w:p w:rsidR="00F5712A" w:rsidRPr="00F5712A" w:rsidRDefault="00F5712A" w:rsidP="00F5712A">
      <w:pPr>
        <w:spacing w:after="0" w:line="240" w:lineRule="auto"/>
        <w:jc w:val="both"/>
        <w:rPr>
          <w:rFonts w:ascii="Arial" w:eastAsia="Calibri" w:hAnsi="Arial" w:cs="Arial"/>
          <w:sz w:val="22"/>
          <w:szCs w:val="22"/>
        </w:rPr>
      </w:pPr>
    </w:p>
    <w:p w:rsidR="00F5712A" w:rsidRPr="00F5712A" w:rsidRDefault="00F5712A" w:rsidP="00F5712A">
      <w:pPr>
        <w:tabs>
          <w:tab w:val="left" w:pos="1190"/>
          <w:tab w:val="decimal" w:pos="8051"/>
        </w:tabs>
        <w:autoSpaceDE w:val="0"/>
        <w:autoSpaceDN w:val="0"/>
        <w:adjustRightInd w:val="0"/>
        <w:spacing w:after="0" w:line="240" w:lineRule="auto"/>
        <w:jc w:val="both"/>
        <w:rPr>
          <w:rFonts w:ascii="Arial" w:eastAsia="Times New Roman" w:hAnsi="Arial" w:cs="Arial"/>
          <w:bCs/>
          <w:iCs/>
          <w:color w:val="0070C0"/>
          <w:sz w:val="22"/>
          <w:szCs w:val="22"/>
          <w:lang w:eastAsia="zh-CN"/>
        </w:rPr>
      </w:pPr>
    </w:p>
    <w:p w:rsidR="00F5712A" w:rsidRPr="00F5712A" w:rsidRDefault="00F5712A" w:rsidP="00F5712A">
      <w:pPr>
        <w:spacing w:after="0" w:line="240" w:lineRule="auto"/>
        <w:jc w:val="both"/>
        <w:rPr>
          <w:rFonts w:ascii="Arial" w:eastAsia="Times New Roman" w:hAnsi="Arial" w:cs="Arial"/>
          <w:bCs/>
          <w:iCs/>
          <w:sz w:val="22"/>
          <w:szCs w:val="22"/>
          <w:lang w:eastAsia="zh-CN"/>
        </w:rPr>
      </w:pPr>
      <w:r w:rsidRPr="00F5712A">
        <w:rPr>
          <w:rFonts w:ascii="Arial" w:eastAsia="Times New Roman" w:hAnsi="Arial" w:cs="Arial"/>
          <w:bCs/>
          <w:iCs/>
          <w:sz w:val="22"/>
          <w:szCs w:val="22"/>
          <w:lang w:eastAsia="zh-CN"/>
        </w:rPr>
        <w:t>L’estimation du montant total des investissements de 2019 s’élève donc à 1 475 000 euros, ce qui nécessiterait, au vu du tableau prospectif, un emprunt de 402 524 euros.</w:t>
      </w:r>
    </w:p>
    <w:p w:rsidR="00F5712A" w:rsidRPr="00F5712A" w:rsidRDefault="00F5712A" w:rsidP="00F5712A">
      <w:pPr>
        <w:spacing w:after="0" w:line="240" w:lineRule="auto"/>
        <w:jc w:val="both"/>
        <w:rPr>
          <w:rFonts w:ascii="Arial" w:eastAsia="Times New Roman" w:hAnsi="Arial" w:cs="Arial"/>
          <w:bCs/>
          <w:iCs/>
          <w:sz w:val="22"/>
          <w:szCs w:val="22"/>
          <w:lang w:eastAsia="zh-CN"/>
        </w:rPr>
      </w:pPr>
    </w:p>
    <w:p w:rsidR="00F5712A" w:rsidRPr="00F5712A" w:rsidRDefault="00F5712A" w:rsidP="00F5712A">
      <w:pPr>
        <w:spacing w:after="0" w:line="240" w:lineRule="auto"/>
        <w:jc w:val="both"/>
        <w:rPr>
          <w:rFonts w:ascii="Arial" w:eastAsia="Times New Roman" w:hAnsi="Arial" w:cs="Arial"/>
          <w:bCs/>
          <w:iCs/>
          <w:color w:val="0070C0"/>
          <w:sz w:val="22"/>
          <w:szCs w:val="22"/>
          <w:lang w:eastAsia="zh-CN"/>
        </w:rPr>
      </w:pPr>
      <w:r w:rsidRPr="00F5712A">
        <w:rPr>
          <w:rFonts w:ascii="Arial" w:eastAsia="Times New Roman" w:hAnsi="Arial" w:cs="Arial"/>
          <w:bCs/>
          <w:iCs/>
          <w:sz w:val="22"/>
          <w:szCs w:val="22"/>
          <w:lang w:eastAsia="zh-CN"/>
        </w:rPr>
        <w:t>Durant la période 2019-2022, il apparaît que 3 749 000 euros pourraient être investis.</w:t>
      </w:r>
    </w:p>
    <w:p w:rsidR="00F5712A" w:rsidRP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F758DF" w:rsidRPr="00F758DF" w:rsidRDefault="00F758DF" w:rsidP="00F5712A">
      <w:pPr>
        <w:spacing w:after="0" w:line="240" w:lineRule="auto"/>
        <w:jc w:val="both"/>
        <w:rPr>
          <w:rFonts w:ascii="Arial" w:eastAsia="Times New Roman" w:hAnsi="Arial" w:cs="Arial"/>
          <w:i/>
          <w:color w:val="000000"/>
          <w:sz w:val="22"/>
          <w:szCs w:val="22"/>
          <w:lang w:eastAsia="zh-CN"/>
        </w:rPr>
      </w:pPr>
      <w:r w:rsidRPr="00F758DF">
        <w:rPr>
          <w:rFonts w:ascii="Arial" w:eastAsia="Times New Roman" w:hAnsi="Arial" w:cs="Arial"/>
          <w:i/>
          <w:color w:val="000000"/>
          <w:sz w:val="22"/>
          <w:szCs w:val="22"/>
          <w:lang w:eastAsia="zh-CN"/>
        </w:rPr>
        <w:t>Daniel ROBERT-CHARRERAU présente le niveau de l’endettement.</w:t>
      </w:r>
    </w:p>
    <w:tbl>
      <w:tblPr>
        <w:tblW w:w="10545" w:type="dxa"/>
        <w:tblLayout w:type="fixed"/>
        <w:tblCellMar>
          <w:left w:w="0" w:type="dxa"/>
          <w:right w:w="0" w:type="dxa"/>
        </w:tblCellMar>
        <w:tblLook w:val="01E0" w:firstRow="1" w:lastRow="1" w:firstColumn="1" w:lastColumn="1" w:noHBand="0" w:noVBand="0"/>
      </w:tblPr>
      <w:tblGrid>
        <w:gridCol w:w="10545"/>
      </w:tblGrid>
      <w:tr w:rsidR="00F5712A" w:rsidRPr="00F5712A" w:rsidTr="00F5712A">
        <w:tc>
          <w:tcPr>
            <w:tcW w:w="10545" w:type="dxa"/>
            <w:tcMar>
              <w:top w:w="0" w:type="dxa"/>
              <w:left w:w="0" w:type="dxa"/>
              <w:bottom w:w="0" w:type="dxa"/>
              <w:right w:w="0" w:type="dxa"/>
            </w:tcMar>
            <w:vAlign w:val="center"/>
          </w:tcPr>
          <w:p w:rsidR="00F5712A" w:rsidRPr="00F5712A" w:rsidRDefault="00F5712A" w:rsidP="00F758DF">
            <w:pPr>
              <w:spacing w:after="0" w:line="240" w:lineRule="auto"/>
              <w:jc w:val="both"/>
              <w:rPr>
                <w:rFonts w:ascii="Times New Roman" w:eastAsia="Times New Roman" w:hAnsi="Times New Roman" w:cs="Times New Roman"/>
                <w:sz w:val="28"/>
                <w:szCs w:val="28"/>
                <w:lang w:val="en-US" w:eastAsia="zh-CN"/>
              </w:rPr>
            </w:pPr>
          </w:p>
        </w:tc>
      </w:tr>
    </w:tbl>
    <w:p w:rsidR="00F5712A" w:rsidRPr="00F5712A" w:rsidRDefault="00F5712A" w:rsidP="00F5712A">
      <w:pPr>
        <w:spacing w:after="0" w:line="240" w:lineRule="auto"/>
        <w:jc w:val="both"/>
        <w:rPr>
          <w:rFonts w:ascii="Arial" w:eastAsia="Times New Roman" w:hAnsi="Arial" w:cs="Arial"/>
          <w:b/>
          <w:bCs/>
          <w:color w:val="005C73"/>
          <w:sz w:val="22"/>
          <w:szCs w:val="22"/>
          <w:u w:val="single"/>
          <w:lang w:eastAsia="zh-CN"/>
        </w:rPr>
      </w:pPr>
      <w:r w:rsidRPr="00F5712A">
        <w:rPr>
          <w:rFonts w:ascii="Arial" w:eastAsia="Times New Roman" w:hAnsi="Arial" w:cs="Arial"/>
          <w:b/>
          <w:bCs/>
          <w:sz w:val="22"/>
          <w:szCs w:val="22"/>
          <w:u w:val="single"/>
          <w:lang w:eastAsia="zh-CN"/>
        </w:rPr>
        <w:t>La structure de la dette</w:t>
      </w:r>
    </w:p>
    <w:p w:rsidR="00F5712A" w:rsidRPr="00F5712A" w:rsidRDefault="00F5712A" w:rsidP="00F5712A">
      <w:pPr>
        <w:spacing w:after="0" w:line="240" w:lineRule="auto"/>
        <w:jc w:val="both"/>
        <w:rPr>
          <w:rFonts w:ascii="Arial" w:eastAsia="Times New Roman" w:hAnsi="Arial" w:cs="Arial"/>
          <w:b/>
          <w:bCs/>
          <w:color w:val="005C73"/>
          <w:sz w:val="22"/>
          <w:szCs w:val="22"/>
          <w:u w:val="single"/>
          <w:lang w:eastAsia="zh-CN"/>
        </w:rPr>
      </w:pPr>
    </w:p>
    <w:p w:rsidR="00F5712A" w:rsidRPr="00F5712A" w:rsidRDefault="00F5712A" w:rsidP="00F5712A">
      <w:pPr>
        <w:spacing w:after="0" w:line="240" w:lineRule="auto"/>
        <w:jc w:val="both"/>
        <w:rPr>
          <w:rFonts w:ascii="Arial" w:eastAsia="Times New Roman" w:hAnsi="Arial" w:cs="Arial"/>
          <w:noProof/>
          <w:sz w:val="22"/>
          <w:szCs w:val="22"/>
          <w:lang w:eastAsia="fr-FR"/>
        </w:rPr>
      </w:pPr>
      <w:r w:rsidRPr="00F5712A">
        <w:rPr>
          <w:rFonts w:ascii="Arial" w:eastAsia="Times New Roman" w:hAnsi="Arial" w:cs="Arial"/>
          <w:noProof/>
          <w:sz w:val="22"/>
          <w:szCs w:val="22"/>
          <w:lang w:eastAsia="fr-FR"/>
        </w:rPr>
        <w:t>La dette de la commune au 1</w:t>
      </w:r>
      <w:r w:rsidRPr="00F5712A">
        <w:rPr>
          <w:rFonts w:ascii="Arial" w:eastAsia="Times New Roman" w:hAnsi="Arial" w:cs="Arial"/>
          <w:noProof/>
          <w:sz w:val="22"/>
          <w:szCs w:val="22"/>
          <w:vertAlign w:val="superscript"/>
          <w:lang w:eastAsia="fr-FR"/>
        </w:rPr>
        <w:t>er</w:t>
      </w:r>
      <w:r w:rsidRPr="00F5712A">
        <w:rPr>
          <w:rFonts w:ascii="Arial" w:eastAsia="Times New Roman" w:hAnsi="Arial" w:cs="Arial"/>
          <w:noProof/>
          <w:sz w:val="22"/>
          <w:szCs w:val="22"/>
          <w:lang w:eastAsia="fr-FR"/>
        </w:rPr>
        <w:t xml:space="preserve"> janvier 2019 est structurée comme suit, par nature de taux :</w:t>
      </w:r>
    </w:p>
    <w:p w:rsidR="00F5712A" w:rsidRPr="00F5712A" w:rsidRDefault="00F5712A" w:rsidP="00F5712A">
      <w:pPr>
        <w:spacing w:after="0" w:line="240" w:lineRule="auto"/>
        <w:jc w:val="both"/>
        <w:rPr>
          <w:rFonts w:ascii="Arial" w:eastAsia="Times New Roman" w:hAnsi="Arial" w:cs="Arial"/>
          <w:noProof/>
          <w:sz w:val="22"/>
          <w:szCs w:val="22"/>
          <w:lang w:eastAsia="fr-FR"/>
        </w:rPr>
      </w:pPr>
    </w:p>
    <w:p w:rsidR="00F5712A" w:rsidRPr="00F5712A" w:rsidRDefault="00F5712A" w:rsidP="00346E72">
      <w:pPr>
        <w:numPr>
          <w:ilvl w:val="0"/>
          <w:numId w:val="3"/>
        </w:numPr>
        <w:spacing w:after="0" w:line="240" w:lineRule="auto"/>
        <w:contextualSpacing/>
        <w:jc w:val="both"/>
        <w:rPr>
          <w:rFonts w:ascii="Arial" w:eastAsia="Calibri" w:hAnsi="Arial" w:cs="Arial"/>
          <w:noProof/>
          <w:sz w:val="22"/>
          <w:szCs w:val="22"/>
          <w:lang w:eastAsia="fr-FR"/>
        </w:rPr>
      </w:pPr>
      <w:r w:rsidRPr="00F5712A">
        <w:rPr>
          <w:rFonts w:ascii="Arial" w:eastAsia="Calibri" w:hAnsi="Arial" w:cs="Arial"/>
          <w:noProof/>
          <w:sz w:val="22"/>
          <w:szCs w:val="22"/>
          <w:lang w:eastAsia="fr-FR"/>
        </w:rPr>
        <w:t>fixe : 80,6% ;</w:t>
      </w:r>
    </w:p>
    <w:p w:rsidR="00F5712A" w:rsidRPr="00F5712A" w:rsidRDefault="00F5712A" w:rsidP="00346E72">
      <w:pPr>
        <w:numPr>
          <w:ilvl w:val="0"/>
          <w:numId w:val="3"/>
        </w:numPr>
        <w:spacing w:after="0" w:line="240" w:lineRule="auto"/>
        <w:contextualSpacing/>
        <w:jc w:val="both"/>
        <w:rPr>
          <w:rFonts w:ascii="Arial" w:eastAsia="Calibri" w:hAnsi="Arial" w:cs="Arial"/>
          <w:noProof/>
          <w:sz w:val="22"/>
          <w:szCs w:val="22"/>
          <w:lang w:eastAsia="fr-FR"/>
        </w:rPr>
      </w:pPr>
      <w:r w:rsidRPr="00F5712A">
        <w:rPr>
          <w:rFonts w:ascii="Arial" w:eastAsia="Calibri" w:hAnsi="Arial" w:cs="Arial"/>
          <w:noProof/>
          <w:sz w:val="22"/>
          <w:szCs w:val="22"/>
          <w:lang w:eastAsia="fr-FR"/>
        </w:rPr>
        <w:t>variable : 19,4%.</w:t>
      </w:r>
    </w:p>
    <w:p w:rsidR="00F5712A" w:rsidRPr="00F5712A" w:rsidRDefault="00F5712A" w:rsidP="00F5712A">
      <w:pPr>
        <w:spacing w:after="0" w:line="240" w:lineRule="auto"/>
        <w:jc w:val="both"/>
        <w:rPr>
          <w:rFonts w:ascii="Arial" w:eastAsia="Times New Roman" w:hAnsi="Arial" w:cs="Arial"/>
          <w:noProof/>
          <w:sz w:val="22"/>
          <w:szCs w:val="22"/>
          <w:lang w:val="en-US" w:eastAsia="fr-FR"/>
        </w:rPr>
      </w:pPr>
    </w:p>
    <w:p w:rsidR="00F5712A" w:rsidRPr="00F5712A" w:rsidRDefault="00F5712A" w:rsidP="00F5712A">
      <w:pPr>
        <w:spacing w:after="0" w:line="240" w:lineRule="auto"/>
        <w:jc w:val="both"/>
        <w:rPr>
          <w:rFonts w:ascii="Arial" w:eastAsia="Times New Roman" w:hAnsi="Arial" w:cs="Arial"/>
          <w:b/>
          <w:bCs/>
          <w:color w:val="005C73"/>
          <w:sz w:val="22"/>
          <w:szCs w:val="22"/>
          <w:u w:val="single"/>
          <w:lang w:eastAsia="zh-CN"/>
        </w:rPr>
      </w:pPr>
      <w:r w:rsidRPr="00F5712A">
        <w:rPr>
          <w:rFonts w:ascii="Arial" w:eastAsia="Times New Roman" w:hAnsi="Arial" w:cs="Arial"/>
          <w:sz w:val="22"/>
          <w:szCs w:val="22"/>
          <w:lang w:eastAsia="zh-CN"/>
        </w:rPr>
        <w:t>La prospective financière 2019-2022 prévoit un recours à l’emprunt nécessaire au financement des volumes d’investissement envisagés. Ces emprunts prévisionnels sont estimés de telle manière à générer des annuités de remboursement soutenables par le budget de la commune pour les exercices à venir.</w:t>
      </w:r>
    </w:p>
    <w:p w:rsid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C04230" w:rsidRPr="00F5712A" w:rsidRDefault="00C04230" w:rsidP="00F5712A">
      <w:pPr>
        <w:spacing w:after="0" w:line="240" w:lineRule="auto"/>
        <w:jc w:val="both"/>
        <w:rPr>
          <w:rFonts w:ascii="Times New Roman" w:eastAsia="Times New Roman" w:hAnsi="Times New Roman" w:cs="Times New Roman"/>
          <w:color w:val="000000"/>
          <w:sz w:val="22"/>
          <w:szCs w:val="22"/>
          <w:lang w:eastAsia="zh-CN"/>
        </w:rPr>
      </w:pPr>
    </w:p>
    <w:tbl>
      <w:tblPr>
        <w:tblW w:w="10545" w:type="dxa"/>
        <w:tblLayout w:type="fixed"/>
        <w:tblCellMar>
          <w:left w:w="0" w:type="dxa"/>
          <w:right w:w="0" w:type="dxa"/>
        </w:tblCellMar>
        <w:tblLook w:val="01E0" w:firstRow="1" w:lastRow="1" w:firstColumn="1" w:lastColumn="1" w:noHBand="0" w:noVBand="0"/>
      </w:tblPr>
      <w:tblGrid>
        <w:gridCol w:w="10545"/>
      </w:tblGrid>
      <w:tr w:rsidR="00F5712A" w:rsidRPr="00F5712A" w:rsidTr="00F5712A">
        <w:tc>
          <w:tcPr>
            <w:tcW w:w="10545" w:type="dxa"/>
            <w:tcMar>
              <w:top w:w="0" w:type="dxa"/>
              <w:left w:w="0" w:type="dxa"/>
              <w:bottom w:w="0" w:type="dxa"/>
              <w:right w:w="0" w:type="dxa"/>
            </w:tcMar>
            <w:vAlign w:val="center"/>
          </w:tcPr>
          <w:p w:rsidR="00F5712A" w:rsidRPr="00F5712A" w:rsidRDefault="00F5712A" w:rsidP="00F5712A">
            <w:pPr>
              <w:spacing w:after="0" w:line="240" w:lineRule="auto"/>
              <w:jc w:val="both"/>
              <w:rPr>
                <w:rFonts w:ascii="Arial" w:eastAsia="Times New Roman" w:hAnsi="Arial" w:cs="Arial"/>
                <w:b/>
                <w:bCs/>
                <w:color w:val="005C73"/>
                <w:sz w:val="22"/>
                <w:szCs w:val="22"/>
                <w:u w:val="single"/>
                <w:lang w:eastAsia="zh-CN"/>
              </w:rPr>
            </w:pPr>
            <w:bookmarkStart w:id="20" w:name="__bookmark_28"/>
            <w:bookmarkEnd w:id="20"/>
            <w:r w:rsidRPr="00F5712A">
              <w:rPr>
                <w:rFonts w:ascii="Arial" w:eastAsia="Times New Roman" w:hAnsi="Arial" w:cs="Arial"/>
                <w:b/>
                <w:bCs/>
                <w:sz w:val="22"/>
                <w:szCs w:val="22"/>
                <w:u w:val="single"/>
                <w:lang w:eastAsia="zh-CN"/>
              </w:rPr>
              <w:t>L’encours de la dette et les emprunts nouveaux</w:t>
            </w:r>
          </w:p>
          <w:p w:rsidR="00F5712A" w:rsidRPr="00F5712A" w:rsidRDefault="00F5712A" w:rsidP="00F5712A">
            <w:pPr>
              <w:spacing w:after="0" w:line="1" w:lineRule="auto"/>
              <w:jc w:val="both"/>
              <w:rPr>
                <w:rFonts w:ascii="Times New Roman" w:eastAsia="Times New Roman" w:hAnsi="Times New Roman" w:cs="Times New Roman"/>
                <w:sz w:val="20"/>
                <w:szCs w:val="20"/>
                <w:lang w:eastAsia="zh-CN"/>
              </w:rPr>
            </w:pPr>
          </w:p>
        </w:tc>
      </w:tr>
    </w:tbl>
    <w:p w:rsidR="00F5712A" w:rsidRP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F5712A" w:rsidRPr="00F5712A" w:rsidRDefault="00F5712A" w:rsidP="00F5712A">
      <w:pPr>
        <w:spacing w:after="0" w:line="240" w:lineRule="auto"/>
        <w:jc w:val="both"/>
        <w:rPr>
          <w:rFonts w:ascii="Arial" w:eastAsia="Times New Roman" w:hAnsi="Arial" w:cs="Arial"/>
          <w:color w:val="000000"/>
          <w:sz w:val="22"/>
          <w:szCs w:val="22"/>
          <w:lang w:eastAsia="fr-FR"/>
        </w:rPr>
      </w:pPr>
      <w:r w:rsidRPr="00F5712A">
        <w:rPr>
          <w:rFonts w:ascii="Arial" w:eastAsia="Times New Roman" w:hAnsi="Arial" w:cs="Arial"/>
          <w:sz w:val="22"/>
          <w:szCs w:val="22"/>
          <w:lang w:eastAsia="zh-CN"/>
        </w:rPr>
        <w:t>De 2019 à 2022, de</w:t>
      </w:r>
      <w:r w:rsidRPr="00F5712A">
        <w:rPr>
          <w:rFonts w:ascii="Arial" w:eastAsia="Times New Roman" w:hAnsi="Arial" w:cs="Arial"/>
          <w:color w:val="000000"/>
          <w:sz w:val="22"/>
          <w:szCs w:val="22"/>
          <w:lang w:eastAsia="fr-FR"/>
        </w:rPr>
        <w:t xml:space="preserve"> 50 824 </w:t>
      </w:r>
      <w:r w:rsidRPr="00F5712A">
        <w:rPr>
          <w:rFonts w:ascii="Arial" w:eastAsia="Times New Roman" w:hAnsi="Arial" w:cs="Arial"/>
          <w:sz w:val="22"/>
          <w:szCs w:val="22"/>
          <w:lang w:eastAsia="zh-CN"/>
        </w:rPr>
        <w:t xml:space="preserve">euros (au minimum en 2020) jusqu’à </w:t>
      </w:r>
      <w:r w:rsidRPr="00F5712A">
        <w:rPr>
          <w:rFonts w:ascii="Arial" w:eastAsia="Times New Roman" w:hAnsi="Arial" w:cs="Arial"/>
          <w:bCs/>
          <w:iCs/>
          <w:sz w:val="22"/>
          <w:szCs w:val="22"/>
          <w:lang w:eastAsia="zh-CN"/>
        </w:rPr>
        <w:t>402 524</w:t>
      </w:r>
      <w:r w:rsidRPr="00F5712A">
        <w:rPr>
          <w:rFonts w:ascii="Arial" w:eastAsia="Times New Roman" w:hAnsi="Arial" w:cs="Arial"/>
          <w:sz w:val="22"/>
          <w:szCs w:val="22"/>
          <w:lang w:eastAsia="zh-CN"/>
        </w:rPr>
        <w:t xml:space="preserve"> euros (au maximum en 2019) pourraient être empruntés chaque année.</w:t>
      </w:r>
    </w:p>
    <w:p w:rsidR="00F5712A" w:rsidRPr="00F5712A" w:rsidRDefault="00F5712A" w:rsidP="00F5712A">
      <w:pPr>
        <w:spacing w:after="0" w:line="240" w:lineRule="auto"/>
        <w:jc w:val="both"/>
        <w:rPr>
          <w:rFonts w:ascii="Arial" w:eastAsia="Times New Roman" w:hAnsi="Arial" w:cs="Arial"/>
          <w:sz w:val="22"/>
          <w:szCs w:val="22"/>
          <w:lang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r w:rsidRPr="00F5712A">
        <w:rPr>
          <w:rFonts w:ascii="Arial" w:eastAsia="Times New Roman" w:hAnsi="Arial" w:cs="Arial"/>
          <w:sz w:val="22"/>
          <w:szCs w:val="22"/>
          <w:lang w:eastAsia="zh-CN"/>
        </w:rPr>
        <w:t xml:space="preserve">En prenant en compte ce volume prévisionnel d’emprunt ainsi que la dette déjà existante, </w:t>
      </w:r>
      <w:r w:rsidRPr="00F5712A">
        <w:rPr>
          <w:rFonts w:ascii="Arial" w:eastAsia="Arial" w:hAnsi="Arial" w:cs="Arial"/>
          <w:color w:val="000000"/>
          <w:sz w:val="22"/>
          <w:szCs w:val="22"/>
          <w:lang w:eastAsia="zh-CN"/>
        </w:rPr>
        <w:t>l'encours de la dette de la commune évoluerait de</w:t>
      </w:r>
      <w:r w:rsidRPr="00F5712A">
        <w:rPr>
          <w:rFonts w:ascii="Arial" w:eastAsia="Arial" w:hAnsi="Arial" w:cs="Arial"/>
          <w:color w:val="FFFFFF"/>
          <w:sz w:val="22"/>
          <w:szCs w:val="22"/>
          <w:lang w:eastAsia="zh-CN"/>
        </w:rPr>
        <w:t xml:space="preserve"> </w:t>
      </w:r>
      <w:r w:rsidRPr="00F5712A">
        <w:rPr>
          <w:rFonts w:ascii="Arial" w:eastAsia="Arial" w:hAnsi="Arial" w:cs="Arial"/>
          <w:bCs/>
          <w:color w:val="000000"/>
          <w:sz w:val="22"/>
          <w:szCs w:val="22"/>
          <w:lang w:eastAsia="zh-CN"/>
        </w:rPr>
        <w:t>2 974 617 euros en 2016 à 1 914 935 euros en 2022</w:t>
      </w:r>
      <w:r w:rsidRPr="00F5712A">
        <w:rPr>
          <w:rFonts w:ascii="Arial" w:eastAsia="Arial" w:hAnsi="Arial" w:cs="Arial"/>
          <w:color w:val="FFFFFF"/>
          <w:sz w:val="22"/>
          <w:szCs w:val="22"/>
          <w:lang w:eastAsia="zh-CN"/>
        </w:rPr>
        <w:t xml:space="preserve"> </w:t>
      </w:r>
      <w:r w:rsidRPr="00F5712A">
        <w:rPr>
          <w:rFonts w:ascii="Arial" w:eastAsia="Arial" w:hAnsi="Arial" w:cs="Arial"/>
          <w:color w:val="000000"/>
          <w:sz w:val="22"/>
          <w:szCs w:val="22"/>
          <w:lang w:eastAsia="zh-CN"/>
        </w:rPr>
        <w:t>(échelle de gauche du graphique suivant).</w:t>
      </w:r>
    </w:p>
    <w:p w:rsidR="00F5712A" w:rsidRP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F5712A" w:rsidRPr="00F5712A" w:rsidRDefault="00F5712A" w:rsidP="00F5712A">
      <w:pPr>
        <w:spacing w:after="0" w:line="240" w:lineRule="auto"/>
        <w:jc w:val="both"/>
        <w:rPr>
          <w:rFonts w:ascii="Times New Roman" w:eastAsia="Times New Roman" w:hAnsi="Times New Roman" w:cs="Times New Roman"/>
          <w:sz w:val="22"/>
          <w:szCs w:val="22"/>
          <w:lang w:eastAsia="zh-CN"/>
        </w:rPr>
      </w:pPr>
      <w:r w:rsidRPr="00F5712A">
        <w:rPr>
          <w:rFonts w:ascii="Arial" w:eastAsia="Arial" w:hAnsi="Arial" w:cs="Arial"/>
          <w:color w:val="000000"/>
          <w:sz w:val="22"/>
          <w:szCs w:val="22"/>
          <w:lang w:eastAsia="zh-CN"/>
        </w:rPr>
        <w:t>Par ailleurs, l'annuité de la dette évoluerait de</w:t>
      </w:r>
      <w:r w:rsidRPr="00F5712A">
        <w:rPr>
          <w:rFonts w:ascii="Arial" w:eastAsia="Arial" w:hAnsi="Arial" w:cs="Arial"/>
          <w:color w:val="FFFFFF"/>
          <w:sz w:val="22"/>
          <w:szCs w:val="22"/>
          <w:lang w:eastAsia="zh-CN"/>
        </w:rPr>
        <w:t xml:space="preserve"> </w:t>
      </w:r>
      <w:r w:rsidRPr="00F5712A">
        <w:rPr>
          <w:rFonts w:ascii="Arial" w:eastAsia="Arial" w:hAnsi="Arial" w:cs="Arial"/>
          <w:bCs/>
          <w:color w:val="000000"/>
          <w:sz w:val="22"/>
          <w:szCs w:val="22"/>
          <w:lang w:eastAsia="zh-CN"/>
        </w:rPr>
        <w:t>441 498 euros en 2016 à 286 091 euros en 2022</w:t>
      </w:r>
      <w:r w:rsidRPr="00F5712A">
        <w:rPr>
          <w:rFonts w:ascii="Arial" w:eastAsia="Arial" w:hAnsi="Arial" w:cs="Arial"/>
          <w:color w:val="FFFFFF"/>
          <w:sz w:val="22"/>
          <w:szCs w:val="22"/>
          <w:lang w:eastAsia="zh-CN"/>
        </w:rPr>
        <w:t xml:space="preserve"> </w:t>
      </w:r>
      <w:r w:rsidRPr="00F5712A">
        <w:rPr>
          <w:rFonts w:ascii="Arial" w:eastAsia="Arial" w:hAnsi="Arial" w:cs="Arial"/>
          <w:color w:val="000000"/>
          <w:sz w:val="22"/>
          <w:szCs w:val="22"/>
          <w:lang w:eastAsia="zh-CN"/>
        </w:rPr>
        <w:t>(échelle de droite du graphique suivant).</w:t>
      </w:r>
    </w:p>
    <w:p w:rsidR="00F5712A" w:rsidRPr="00F5712A" w:rsidRDefault="00F5712A" w:rsidP="00F5712A">
      <w:pPr>
        <w:spacing w:after="0" w:line="240" w:lineRule="auto"/>
        <w:jc w:val="both"/>
        <w:rPr>
          <w:rFonts w:ascii="Arial" w:eastAsia="Arial" w:hAnsi="Arial" w:cs="Arial"/>
          <w:color w:val="000000"/>
          <w:sz w:val="22"/>
          <w:szCs w:val="22"/>
          <w:lang w:eastAsia="zh-CN"/>
        </w:rPr>
      </w:pPr>
    </w:p>
    <w:tbl>
      <w:tblPr>
        <w:tblW w:w="9810" w:type="dxa"/>
        <w:tblLayout w:type="fixed"/>
        <w:tblLook w:val="01E0" w:firstRow="1" w:lastRow="1" w:firstColumn="1" w:lastColumn="1" w:noHBand="0" w:noVBand="0"/>
      </w:tblPr>
      <w:tblGrid>
        <w:gridCol w:w="2452"/>
        <w:gridCol w:w="818"/>
        <w:gridCol w:w="1634"/>
        <w:gridCol w:w="1636"/>
        <w:gridCol w:w="816"/>
        <w:gridCol w:w="2454"/>
      </w:tblGrid>
      <w:tr w:rsidR="00F5712A" w:rsidRPr="00F5712A" w:rsidTr="00280AFC">
        <w:trPr>
          <w:trHeight w:val="1"/>
          <w:tblHeader/>
        </w:trPr>
        <w:tc>
          <w:tcPr>
            <w:tcW w:w="2452"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1" w:lineRule="auto"/>
              <w:jc w:val="center"/>
              <w:rPr>
                <w:rFonts w:ascii="Times New Roman" w:eastAsia="Times New Roman" w:hAnsi="Times New Roman" w:cs="Times New Roman"/>
                <w:sz w:val="22"/>
                <w:szCs w:val="22"/>
                <w:lang w:val="en-US" w:eastAsia="zh-CN"/>
              </w:rPr>
            </w:pP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Encours de dette au 01/01</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i/>
                <w:iCs/>
                <w:color w:val="FFFFFF"/>
                <w:sz w:val="22"/>
                <w:szCs w:val="22"/>
                <w:lang w:val="en-US" w:eastAsia="zh-CN"/>
              </w:rPr>
            </w:pPr>
            <w:r w:rsidRPr="00F5712A">
              <w:rPr>
                <w:rFonts w:ascii="Arial" w:eastAsia="Arial" w:hAnsi="Arial" w:cs="Arial"/>
                <w:b/>
                <w:bCs/>
                <w:i/>
                <w:iCs/>
                <w:color w:val="FFFFFF"/>
                <w:sz w:val="22"/>
                <w:szCs w:val="22"/>
                <w:lang w:val="en-US" w:eastAsia="zh-CN"/>
              </w:rPr>
              <w:t>Evolution n-1</w:t>
            </w:r>
          </w:p>
        </w:tc>
        <w:tc>
          <w:tcPr>
            <w:tcW w:w="245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Emprunts nouveaux</w:t>
            </w:r>
          </w:p>
        </w:tc>
      </w:tr>
      <w:tr w:rsidR="00F5712A" w:rsidRPr="00F5712A" w:rsidTr="00280AFC">
        <w:trPr>
          <w:trHeight w:val="15"/>
        </w:trPr>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2016</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2 974 617</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-11,20 %</w:t>
            </w:r>
          </w:p>
        </w:tc>
        <w:tc>
          <w:tcPr>
            <w:tcW w:w="245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0</w:t>
            </w:r>
          </w:p>
        </w:tc>
      </w:tr>
      <w:tr w:rsidR="00F5712A" w:rsidRPr="00F5712A" w:rsidTr="00280AFC">
        <w:trPr>
          <w:trHeight w:val="14"/>
        </w:trPr>
        <w:tc>
          <w:tcPr>
            <w:tcW w:w="2452"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2017</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2 624 592</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-11,77 %</w:t>
            </w:r>
          </w:p>
        </w:tc>
        <w:tc>
          <w:tcPr>
            <w:tcW w:w="245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0</w:t>
            </w:r>
          </w:p>
        </w:tc>
      </w:tr>
      <w:tr w:rsidR="00F5712A" w:rsidRPr="00F5712A" w:rsidTr="00280AFC">
        <w:trPr>
          <w:trHeight w:val="15"/>
        </w:trPr>
        <w:tc>
          <w:tcPr>
            <w:tcW w:w="2452"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2018</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2 284 542</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-12,96 %</w:t>
            </w:r>
          </w:p>
        </w:tc>
        <w:tc>
          <w:tcPr>
            <w:tcW w:w="245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0</w:t>
            </w:r>
          </w:p>
        </w:tc>
      </w:tr>
      <w:tr w:rsidR="00F5712A" w:rsidRPr="00F5712A" w:rsidTr="00280AFC">
        <w:trPr>
          <w:trHeight w:val="15"/>
        </w:trPr>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2019</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1 983 167</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-13,19 %</w:t>
            </w:r>
          </w:p>
        </w:tc>
        <w:tc>
          <w:tcPr>
            <w:tcW w:w="245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402 524</w:t>
            </w:r>
          </w:p>
        </w:tc>
      </w:tr>
      <w:tr w:rsidR="00F5712A" w:rsidRPr="00F5712A" w:rsidTr="00280AFC">
        <w:trPr>
          <w:trHeight w:val="15"/>
        </w:trPr>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2020</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2 129 590</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7,38 %</w:t>
            </w:r>
          </w:p>
        </w:tc>
        <w:tc>
          <w:tcPr>
            <w:tcW w:w="245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50 824</w:t>
            </w:r>
          </w:p>
        </w:tc>
      </w:tr>
      <w:tr w:rsidR="00F5712A" w:rsidRPr="00F5712A" w:rsidTr="00280AFC">
        <w:trPr>
          <w:trHeight w:val="15"/>
        </w:trPr>
        <w:tc>
          <w:tcPr>
            <w:tcW w:w="2452"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2021</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1 936 723</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-9,06 %</w:t>
            </w:r>
          </w:p>
        </w:tc>
        <w:tc>
          <w:tcPr>
            <w:tcW w:w="245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223 359</w:t>
            </w:r>
          </w:p>
        </w:tc>
      </w:tr>
      <w:tr w:rsidR="00F5712A" w:rsidRPr="00F5712A" w:rsidTr="00280AFC">
        <w:trPr>
          <w:trHeight w:val="15"/>
        </w:trPr>
        <w:tc>
          <w:tcPr>
            <w:tcW w:w="245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2022</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1 914 935</w:t>
            </w:r>
          </w:p>
        </w:tc>
        <w:tc>
          <w:tcPr>
            <w:tcW w:w="2452"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-1,13 %</w:t>
            </w:r>
          </w:p>
        </w:tc>
        <w:tc>
          <w:tcPr>
            <w:tcW w:w="245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290 050</w:t>
            </w:r>
          </w:p>
        </w:tc>
      </w:tr>
      <w:tr w:rsidR="00F5712A" w:rsidRPr="00F5712A" w:rsidTr="00280AFC">
        <w:trPr>
          <w:trHeight w:val="240"/>
        </w:trPr>
        <w:tc>
          <w:tcPr>
            <w:tcW w:w="3270" w:type="dxa"/>
            <w:gridSpan w:val="2"/>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1" w:lineRule="auto"/>
              <w:jc w:val="center"/>
              <w:rPr>
                <w:rFonts w:ascii="Times New Roman" w:eastAsia="Times New Roman" w:hAnsi="Times New Roman" w:cs="Times New Roman"/>
                <w:sz w:val="22"/>
                <w:szCs w:val="22"/>
                <w:lang w:val="en-US" w:eastAsia="zh-CN"/>
              </w:rPr>
            </w:pPr>
          </w:p>
        </w:tc>
        <w:tc>
          <w:tcPr>
            <w:tcW w:w="3270" w:type="dxa"/>
            <w:gridSpan w:val="2"/>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Evolution moyenne (en %)</w:t>
            </w:r>
          </w:p>
        </w:tc>
        <w:tc>
          <w:tcPr>
            <w:tcW w:w="3270" w:type="dxa"/>
            <w:gridSpan w:val="2"/>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Evolution totale (en %)</w:t>
            </w:r>
          </w:p>
        </w:tc>
      </w:tr>
      <w:tr w:rsidR="00F5712A" w:rsidRPr="00F5712A" w:rsidTr="00280AFC">
        <w:trPr>
          <w:trHeight w:val="240"/>
        </w:trPr>
        <w:tc>
          <w:tcPr>
            <w:tcW w:w="3270"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Encours de dette au 01/01</w:t>
            </w:r>
          </w:p>
        </w:tc>
        <w:tc>
          <w:tcPr>
            <w:tcW w:w="3270"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-7,42 %</w:t>
            </w:r>
          </w:p>
        </w:tc>
        <w:tc>
          <w:tcPr>
            <w:tcW w:w="3270"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-35,62 %</w:t>
            </w:r>
          </w:p>
        </w:tc>
      </w:tr>
    </w:tbl>
    <w:p w:rsidR="00F5712A" w:rsidRPr="00F5712A" w:rsidRDefault="00F5712A" w:rsidP="00F5712A">
      <w:pPr>
        <w:spacing w:after="0" w:line="240" w:lineRule="auto"/>
        <w:jc w:val="both"/>
        <w:rPr>
          <w:rFonts w:ascii="Arial" w:eastAsia="Arial" w:hAnsi="Arial" w:cs="Arial"/>
          <w:color w:val="000000"/>
          <w:sz w:val="22"/>
          <w:szCs w:val="22"/>
          <w:lang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r w:rsidRPr="00F5712A">
        <w:rPr>
          <w:rFonts w:ascii="Arial" w:eastAsia="Arial" w:hAnsi="Arial" w:cs="Arial"/>
          <w:color w:val="000000"/>
          <w:sz w:val="22"/>
          <w:szCs w:val="22"/>
          <w:lang w:eastAsia="zh-CN"/>
        </w:rPr>
        <w:t>Le graphique ci-dessous indique par année les évolutions du capital restant dû et de l'annuité de la dette (échelle de droite du graphique) tout en retraçant les nouveaux emprunts à contracter dans le cadre du plan d'investissement prospectif (les nouveaux emprunts étant matérialisés en couleur orange) :</w:t>
      </w:r>
    </w:p>
    <w:p w:rsidR="00F5712A" w:rsidRP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F5712A" w:rsidRPr="00F5712A" w:rsidRDefault="00F5712A" w:rsidP="00F5712A">
      <w:pPr>
        <w:spacing w:after="0" w:line="240" w:lineRule="auto"/>
        <w:rPr>
          <w:rFonts w:ascii="Times New Roman" w:eastAsia="Times New Roman" w:hAnsi="Times New Roman" w:cs="Times New Roman"/>
          <w:sz w:val="20"/>
          <w:szCs w:val="20"/>
          <w:lang w:val="en-US" w:eastAsia="zh-CN"/>
        </w:rPr>
      </w:pPr>
      <w:bookmarkStart w:id="21" w:name="__bookmark_30"/>
      <w:bookmarkEnd w:id="21"/>
      <w:r w:rsidRPr="00F5712A">
        <w:rPr>
          <w:rFonts w:ascii="Times New Roman" w:eastAsia="Times New Roman" w:hAnsi="Times New Roman" w:cs="Times New Roman"/>
          <w:noProof/>
          <w:sz w:val="20"/>
          <w:szCs w:val="20"/>
          <w:lang w:eastAsia="fr-FR"/>
        </w:rPr>
        <w:lastRenderedPageBreak/>
        <mc:AlternateContent>
          <mc:Choice Requires="wps">
            <w:drawing>
              <wp:anchor distT="0" distB="0" distL="114300" distR="114300" simplePos="0" relativeHeight="251660800" behindDoc="0" locked="0" layoutInCell="1" allowOverlap="1" wp14:anchorId="7E279F90" wp14:editId="51214ED3">
                <wp:simplePos x="0" y="0"/>
                <wp:positionH relativeFrom="column">
                  <wp:posOffset>0</wp:posOffset>
                </wp:positionH>
                <wp:positionV relativeFrom="paragraph">
                  <wp:posOffset>0</wp:posOffset>
                </wp:positionV>
                <wp:extent cx="635000" cy="635000"/>
                <wp:effectExtent l="0" t="0" r="3175" b="3175"/>
                <wp:wrapNone/>
                <wp:docPr id="4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6FE16" id="AutoShape 3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c1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kmMkaQt1Oh2a5UPjcZj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KHc1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5712A">
        <w:rPr>
          <w:rFonts w:ascii="Times New Roman" w:eastAsia="Times New Roman" w:hAnsi="Times New Roman" w:cs="Times New Roman"/>
          <w:noProof/>
          <w:sz w:val="20"/>
          <w:szCs w:val="20"/>
          <w:lang w:eastAsia="fr-FR"/>
        </w:rPr>
        <w:drawing>
          <wp:inline distT="0" distB="0" distL="0" distR="0" wp14:anchorId="05D9C3B5" wp14:editId="0E359C12">
            <wp:extent cx="6221834" cy="3457575"/>
            <wp:effectExtent l="0" t="0" r="7620" b="0"/>
            <wp:docPr id="8" name="Image 8" descr="ooxWord://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xWord://media/image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6520" cy="3460179"/>
                    </a:xfrm>
                    <a:prstGeom prst="rect">
                      <a:avLst/>
                    </a:prstGeom>
                    <a:noFill/>
                    <a:ln>
                      <a:noFill/>
                    </a:ln>
                  </pic:spPr>
                </pic:pic>
              </a:graphicData>
            </a:graphic>
          </wp:inline>
        </w:drawing>
      </w:r>
    </w:p>
    <w:p w:rsidR="00F5712A" w:rsidRPr="00F5712A" w:rsidRDefault="00F5712A" w:rsidP="00F5712A">
      <w:pPr>
        <w:spacing w:after="0" w:line="240" w:lineRule="auto"/>
        <w:rPr>
          <w:rFonts w:ascii="Times New Roman" w:eastAsia="Times New Roman" w:hAnsi="Times New Roman" w:cs="Times New Roman"/>
          <w:color w:val="000000"/>
          <w:sz w:val="20"/>
          <w:szCs w:val="20"/>
          <w:lang w:val="en-US" w:eastAsia="zh-CN"/>
        </w:rPr>
      </w:pPr>
    </w:p>
    <w:tbl>
      <w:tblPr>
        <w:tblW w:w="10545" w:type="dxa"/>
        <w:tblLayout w:type="fixed"/>
        <w:tblCellMar>
          <w:left w:w="0" w:type="dxa"/>
          <w:right w:w="0" w:type="dxa"/>
        </w:tblCellMar>
        <w:tblLook w:val="01E0" w:firstRow="1" w:lastRow="1" w:firstColumn="1" w:lastColumn="1" w:noHBand="0" w:noVBand="0"/>
      </w:tblPr>
      <w:tblGrid>
        <w:gridCol w:w="10545"/>
      </w:tblGrid>
      <w:tr w:rsidR="00F5712A" w:rsidRPr="00F5712A" w:rsidTr="00F5712A">
        <w:tc>
          <w:tcPr>
            <w:tcW w:w="10545" w:type="dxa"/>
            <w:tcMar>
              <w:top w:w="0" w:type="dxa"/>
              <w:left w:w="0" w:type="dxa"/>
              <w:bottom w:w="0" w:type="dxa"/>
              <w:right w:w="0" w:type="dxa"/>
            </w:tcMar>
            <w:vAlign w:val="center"/>
          </w:tcPr>
          <w:p w:rsidR="00F5712A" w:rsidRPr="00F5712A" w:rsidRDefault="00F5712A" w:rsidP="00F5712A">
            <w:pPr>
              <w:spacing w:after="0" w:line="240" w:lineRule="auto"/>
              <w:jc w:val="both"/>
              <w:rPr>
                <w:rFonts w:ascii="Arial" w:eastAsia="Times New Roman" w:hAnsi="Arial" w:cs="Arial"/>
                <w:b/>
                <w:bCs/>
                <w:sz w:val="22"/>
                <w:szCs w:val="22"/>
                <w:u w:val="single"/>
                <w:lang w:eastAsia="zh-CN"/>
              </w:rPr>
            </w:pPr>
            <w:bookmarkStart w:id="22" w:name="__bookmark_31"/>
            <w:bookmarkEnd w:id="22"/>
          </w:p>
          <w:p w:rsidR="00F5712A" w:rsidRPr="00F5712A" w:rsidRDefault="00F5712A" w:rsidP="00F5712A">
            <w:pPr>
              <w:spacing w:after="0" w:line="240" w:lineRule="auto"/>
              <w:jc w:val="both"/>
              <w:rPr>
                <w:rFonts w:ascii="Arial" w:eastAsia="Times New Roman" w:hAnsi="Arial" w:cs="Arial"/>
                <w:b/>
                <w:bCs/>
                <w:color w:val="005C73"/>
                <w:sz w:val="22"/>
                <w:szCs w:val="22"/>
                <w:u w:val="single"/>
                <w:lang w:eastAsia="zh-CN"/>
              </w:rPr>
            </w:pPr>
            <w:r w:rsidRPr="00F5712A">
              <w:rPr>
                <w:rFonts w:ascii="Arial" w:eastAsia="Times New Roman" w:hAnsi="Arial" w:cs="Arial"/>
                <w:b/>
                <w:bCs/>
                <w:sz w:val="22"/>
                <w:szCs w:val="22"/>
                <w:u w:val="single"/>
                <w:lang w:eastAsia="zh-CN"/>
              </w:rPr>
              <w:t>Les annuités de la dette</w:t>
            </w:r>
          </w:p>
          <w:p w:rsidR="00F5712A" w:rsidRPr="00F5712A" w:rsidRDefault="00F5712A" w:rsidP="00F5712A">
            <w:pPr>
              <w:spacing w:after="0" w:line="1" w:lineRule="auto"/>
              <w:jc w:val="both"/>
              <w:rPr>
                <w:rFonts w:ascii="Times New Roman" w:eastAsia="Times New Roman" w:hAnsi="Times New Roman" w:cs="Times New Roman"/>
                <w:sz w:val="20"/>
                <w:szCs w:val="20"/>
                <w:lang w:eastAsia="zh-CN"/>
              </w:rPr>
            </w:pPr>
          </w:p>
        </w:tc>
      </w:tr>
    </w:tbl>
    <w:p w:rsidR="00F5712A" w:rsidRP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r w:rsidRPr="00F5712A">
        <w:rPr>
          <w:rFonts w:ascii="Arial" w:eastAsia="Arial" w:hAnsi="Arial" w:cs="Arial"/>
          <w:color w:val="000000"/>
          <w:sz w:val="22"/>
          <w:szCs w:val="22"/>
          <w:lang w:eastAsia="zh-CN"/>
        </w:rPr>
        <w:t>L'annuité de la dette (remboursement du capital et remboursement des intérêts) serait échelonnée et ventilée comme suit :</w:t>
      </w:r>
    </w:p>
    <w:p w:rsidR="00F5712A" w:rsidRPr="00F5712A" w:rsidRDefault="00F5712A" w:rsidP="00F5712A">
      <w:pPr>
        <w:spacing w:after="0" w:line="240" w:lineRule="auto"/>
        <w:jc w:val="both"/>
        <w:rPr>
          <w:rFonts w:ascii="Arial" w:eastAsia="Arial" w:hAnsi="Arial" w:cs="Arial"/>
          <w:color w:val="000000"/>
          <w:sz w:val="22"/>
          <w:szCs w:val="22"/>
          <w:lang w:eastAsia="zh-CN"/>
        </w:rPr>
      </w:pPr>
    </w:p>
    <w:tbl>
      <w:tblPr>
        <w:tblW w:w="9806" w:type="dxa"/>
        <w:tblLayout w:type="fixed"/>
        <w:tblLook w:val="01E0" w:firstRow="1" w:lastRow="1" w:firstColumn="1" w:lastColumn="1" w:noHBand="0" w:noVBand="0"/>
      </w:tblPr>
      <w:tblGrid>
        <w:gridCol w:w="2009"/>
        <w:gridCol w:w="1113"/>
        <w:gridCol w:w="1113"/>
        <w:gridCol w:w="1113"/>
        <w:gridCol w:w="1113"/>
        <w:gridCol w:w="1113"/>
        <w:gridCol w:w="1113"/>
        <w:gridCol w:w="1119"/>
      </w:tblGrid>
      <w:tr w:rsidR="00F5712A" w:rsidRPr="00F5712A" w:rsidTr="00F5712A">
        <w:trPr>
          <w:trHeight w:val="209"/>
          <w:tblHeader/>
        </w:trPr>
        <w:tc>
          <w:tcPr>
            <w:tcW w:w="2009"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1" w:lineRule="auto"/>
              <w:jc w:val="center"/>
              <w:rPr>
                <w:rFonts w:ascii="Times New Roman" w:eastAsia="Times New Roman" w:hAnsi="Times New Roman" w:cs="Times New Roman"/>
                <w:sz w:val="22"/>
                <w:szCs w:val="22"/>
                <w:lang w:val="en-US" w:eastAsia="zh-CN"/>
              </w:rPr>
            </w:pPr>
          </w:p>
        </w:tc>
        <w:tc>
          <w:tcPr>
            <w:tcW w:w="1113"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2016</w:t>
            </w:r>
          </w:p>
        </w:tc>
        <w:tc>
          <w:tcPr>
            <w:tcW w:w="1113"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2017</w:t>
            </w:r>
          </w:p>
        </w:tc>
        <w:tc>
          <w:tcPr>
            <w:tcW w:w="1113"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2018</w:t>
            </w:r>
          </w:p>
        </w:tc>
        <w:tc>
          <w:tcPr>
            <w:tcW w:w="111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2019</w:t>
            </w:r>
          </w:p>
        </w:tc>
        <w:tc>
          <w:tcPr>
            <w:tcW w:w="111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2020</w:t>
            </w:r>
          </w:p>
        </w:tc>
        <w:tc>
          <w:tcPr>
            <w:tcW w:w="111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2021</w:t>
            </w:r>
          </w:p>
        </w:tc>
        <w:tc>
          <w:tcPr>
            <w:tcW w:w="1119"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2022</w:t>
            </w:r>
          </w:p>
        </w:tc>
      </w:tr>
      <w:tr w:rsidR="00F5712A" w:rsidRPr="00F5712A" w:rsidTr="00F5712A">
        <w:trPr>
          <w:trHeight w:val="209"/>
        </w:trPr>
        <w:tc>
          <w:tcPr>
            <w:tcW w:w="200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Annuités</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441 498</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419 760</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369 924</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315 826</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313 886</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294 781</w:t>
            </w:r>
          </w:p>
        </w:tc>
        <w:tc>
          <w:tcPr>
            <w:tcW w:w="111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286 091</w:t>
            </w:r>
          </w:p>
        </w:tc>
      </w:tr>
      <w:tr w:rsidR="00F5712A" w:rsidRPr="00F5712A" w:rsidTr="00F5712A">
        <w:trPr>
          <w:trHeight w:val="209"/>
        </w:trPr>
        <w:tc>
          <w:tcPr>
            <w:tcW w:w="2009"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i/>
                <w:iCs/>
                <w:color w:val="000000"/>
                <w:sz w:val="22"/>
                <w:szCs w:val="22"/>
                <w:lang w:val="en-US" w:eastAsia="zh-CN"/>
              </w:rPr>
            </w:pPr>
            <w:r w:rsidRPr="00F5712A">
              <w:rPr>
                <w:rFonts w:ascii="Arial" w:eastAsia="Arial" w:hAnsi="Arial" w:cs="Arial"/>
                <w:i/>
                <w:iCs/>
                <w:color w:val="000000"/>
                <w:sz w:val="22"/>
                <w:szCs w:val="22"/>
                <w:lang w:val="en-US" w:eastAsia="zh-CN"/>
              </w:rPr>
              <w:t>Evolution n-1 (en %)</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-8,19 %</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-4,92 %</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-11,87 %</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-14,62 %</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-0,61 %</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-6,09 %</w:t>
            </w:r>
          </w:p>
        </w:tc>
        <w:tc>
          <w:tcPr>
            <w:tcW w:w="1119"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-2,95 %</w:t>
            </w:r>
          </w:p>
        </w:tc>
      </w:tr>
      <w:tr w:rsidR="00F5712A" w:rsidRPr="00F5712A" w:rsidTr="00F5712A">
        <w:trPr>
          <w:trHeight w:val="196"/>
        </w:trPr>
        <w:tc>
          <w:tcPr>
            <w:tcW w:w="200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Capital en euro</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350 026</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340 049</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301 375</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256 101</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243 690</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245 147</w:t>
            </w:r>
          </w:p>
        </w:tc>
        <w:tc>
          <w:tcPr>
            <w:tcW w:w="111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241 433</w:t>
            </w:r>
          </w:p>
        </w:tc>
      </w:tr>
      <w:tr w:rsidR="00F5712A" w:rsidRPr="00F5712A" w:rsidTr="00F5712A">
        <w:trPr>
          <w:trHeight w:val="209"/>
        </w:trPr>
        <w:tc>
          <w:tcPr>
            <w:tcW w:w="2009"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Intérêts en euro</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91 472</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79 711</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68 549</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59 725</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70 195</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49 634</w:t>
            </w:r>
          </w:p>
        </w:tc>
        <w:tc>
          <w:tcPr>
            <w:tcW w:w="1119"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44 658</w:t>
            </w:r>
          </w:p>
        </w:tc>
      </w:tr>
    </w:tbl>
    <w:p w:rsidR="00F5712A" w:rsidRPr="00F5712A" w:rsidRDefault="00F5712A" w:rsidP="00F5712A">
      <w:pPr>
        <w:spacing w:after="0" w:line="240" w:lineRule="auto"/>
        <w:jc w:val="both"/>
        <w:rPr>
          <w:rFonts w:ascii="Arial" w:eastAsia="Arial" w:hAnsi="Arial" w:cs="Arial"/>
          <w:color w:val="000000"/>
          <w:sz w:val="22"/>
          <w:szCs w:val="22"/>
          <w:lang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p>
    <w:p w:rsid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660323" w:rsidRDefault="00660323" w:rsidP="00F5712A">
      <w:pPr>
        <w:spacing w:after="0" w:line="240" w:lineRule="auto"/>
        <w:jc w:val="both"/>
        <w:rPr>
          <w:rFonts w:ascii="Times New Roman" w:eastAsia="Times New Roman" w:hAnsi="Times New Roman" w:cs="Times New Roman"/>
          <w:color w:val="000000"/>
          <w:sz w:val="22"/>
          <w:szCs w:val="22"/>
          <w:lang w:eastAsia="zh-CN"/>
        </w:rPr>
      </w:pPr>
    </w:p>
    <w:p w:rsidR="00F5712A" w:rsidRPr="00F5712A" w:rsidRDefault="00F5712A" w:rsidP="00F5712A">
      <w:pPr>
        <w:spacing w:after="0" w:line="240" w:lineRule="auto"/>
        <w:rPr>
          <w:rFonts w:ascii="Times New Roman" w:eastAsia="Times New Roman" w:hAnsi="Times New Roman" w:cs="Times New Roman"/>
          <w:sz w:val="20"/>
          <w:szCs w:val="20"/>
          <w:lang w:val="en-US" w:eastAsia="zh-CN"/>
        </w:rPr>
      </w:pPr>
      <w:bookmarkStart w:id="23" w:name="__bookmark_33"/>
      <w:bookmarkEnd w:id="23"/>
      <w:r w:rsidRPr="00F5712A">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8240" behindDoc="0" locked="0" layoutInCell="1" allowOverlap="1" wp14:anchorId="39B1238C" wp14:editId="5BAD96DD">
                <wp:simplePos x="0" y="0"/>
                <wp:positionH relativeFrom="column">
                  <wp:posOffset>0</wp:posOffset>
                </wp:positionH>
                <wp:positionV relativeFrom="paragraph">
                  <wp:posOffset>0</wp:posOffset>
                </wp:positionV>
                <wp:extent cx="635000" cy="635000"/>
                <wp:effectExtent l="0" t="0" r="3175" b="3175"/>
                <wp:wrapNone/>
                <wp:docPr id="4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5DE2C" id="AutoShape 3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Hq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gqcTZKJ&#10;79IZ6BfcoOuu8a+4kbxnFqYLZ32B56dDJHcKXInGt9YSxsf1WSkc/OdSQMWOjfZ6dRIdn8JaNk8g&#10;Vy1BTqA8mIOw6KT+gdEAM6XA5vuWaIoR/yBA8lmculdmvZ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4Ace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5712A">
        <w:rPr>
          <w:rFonts w:ascii="Times New Roman" w:eastAsia="Times New Roman" w:hAnsi="Times New Roman" w:cs="Times New Roman"/>
          <w:noProof/>
          <w:sz w:val="20"/>
          <w:szCs w:val="20"/>
          <w:lang w:eastAsia="fr-FR"/>
        </w:rPr>
        <w:drawing>
          <wp:inline distT="0" distB="0" distL="0" distR="0" wp14:anchorId="2D81706E" wp14:editId="59C30520">
            <wp:extent cx="6229350" cy="3461752"/>
            <wp:effectExtent l="0" t="0" r="0" b="5715"/>
            <wp:docPr id="9" name="Image 9" descr="ooxWord://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oxWord://media/image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2439" cy="3469026"/>
                    </a:xfrm>
                    <a:prstGeom prst="rect">
                      <a:avLst/>
                    </a:prstGeom>
                    <a:noFill/>
                    <a:ln>
                      <a:noFill/>
                    </a:ln>
                  </pic:spPr>
                </pic:pic>
              </a:graphicData>
            </a:graphic>
          </wp:inline>
        </w:drawing>
      </w:r>
    </w:p>
    <w:p w:rsidR="00F5712A" w:rsidRPr="00F5712A" w:rsidRDefault="00F5712A" w:rsidP="00F5712A">
      <w:pPr>
        <w:spacing w:after="0" w:line="240" w:lineRule="auto"/>
        <w:rPr>
          <w:rFonts w:ascii="Times New Roman" w:eastAsia="Times New Roman" w:hAnsi="Times New Roman" w:cs="Times New Roman"/>
          <w:color w:val="000000"/>
          <w:sz w:val="20"/>
          <w:szCs w:val="20"/>
          <w:lang w:val="en-US"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r w:rsidRPr="00F5712A">
        <w:rPr>
          <w:rFonts w:ascii="Arial" w:eastAsia="Arial" w:hAnsi="Arial" w:cs="Arial"/>
          <w:color w:val="000000"/>
          <w:sz w:val="22"/>
          <w:szCs w:val="22"/>
          <w:lang w:eastAsia="zh-CN"/>
        </w:rPr>
        <w:t>La ventilation de l'annuité de la dette en euro par habitant évoluerait de la façon suivante :</w:t>
      </w:r>
    </w:p>
    <w:p w:rsidR="00F5712A" w:rsidRPr="00F5712A" w:rsidRDefault="00F5712A" w:rsidP="00F5712A">
      <w:pPr>
        <w:spacing w:after="0" w:line="240" w:lineRule="auto"/>
        <w:jc w:val="both"/>
        <w:rPr>
          <w:rFonts w:ascii="Arial" w:eastAsia="Arial" w:hAnsi="Arial" w:cs="Arial"/>
          <w:color w:val="000000"/>
          <w:sz w:val="22"/>
          <w:szCs w:val="22"/>
          <w:lang w:eastAsia="zh-CN"/>
        </w:rPr>
      </w:pPr>
    </w:p>
    <w:tbl>
      <w:tblPr>
        <w:tblW w:w="9806" w:type="dxa"/>
        <w:tblLayout w:type="fixed"/>
        <w:tblLook w:val="01E0" w:firstRow="1" w:lastRow="1" w:firstColumn="1" w:lastColumn="1" w:noHBand="0" w:noVBand="0"/>
      </w:tblPr>
      <w:tblGrid>
        <w:gridCol w:w="2009"/>
        <w:gridCol w:w="1113"/>
        <w:gridCol w:w="1113"/>
        <w:gridCol w:w="1113"/>
        <w:gridCol w:w="1113"/>
        <w:gridCol w:w="1113"/>
        <w:gridCol w:w="1113"/>
        <w:gridCol w:w="1119"/>
      </w:tblGrid>
      <w:tr w:rsidR="00F5712A" w:rsidRPr="00F5712A" w:rsidTr="00F5712A">
        <w:trPr>
          <w:trHeight w:val="211"/>
          <w:tblHeader/>
        </w:trPr>
        <w:tc>
          <w:tcPr>
            <w:tcW w:w="2009"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1" w:lineRule="auto"/>
              <w:jc w:val="center"/>
              <w:rPr>
                <w:rFonts w:ascii="Times New Roman" w:eastAsia="Times New Roman" w:hAnsi="Times New Roman" w:cs="Times New Roman"/>
                <w:sz w:val="22"/>
                <w:szCs w:val="22"/>
                <w:lang w:val="en-US" w:eastAsia="zh-CN"/>
              </w:rPr>
            </w:pPr>
          </w:p>
        </w:tc>
        <w:tc>
          <w:tcPr>
            <w:tcW w:w="1113"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2016</w:t>
            </w:r>
          </w:p>
        </w:tc>
        <w:tc>
          <w:tcPr>
            <w:tcW w:w="1113"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2017</w:t>
            </w:r>
          </w:p>
        </w:tc>
        <w:tc>
          <w:tcPr>
            <w:tcW w:w="1113"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2018</w:t>
            </w:r>
          </w:p>
        </w:tc>
        <w:tc>
          <w:tcPr>
            <w:tcW w:w="111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2019</w:t>
            </w:r>
          </w:p>
        </w:tc>
        <w:tc>
          <w:tcPr>
            <w:tcW w:w="111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2020</w:t>
            </w:r>
          </w:p>
        </w:tc>
        <w:tc>
          <w:tcPr>
            <w:tcW w:w="1113"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2021</w:t>
            </w:r>
          </w:p>
        </w:tc>
        <w:tc>
          <w:tcPr>
            <w:tcW w:w="1119"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2022</w:t>
            </w:r>
          </w:p>
        </w:tc>
      </w:tr>
      <w:tr w:rsidR="00F5712A" w:rsidRPr="00F5712A" w:rsidTr="00F5712A">
        <w:trPr>
          <w:trHeight w:val="211"/>
        </w:trPr>
        <w:tc>
          <w:tcPr>
            <w:tcW w:w="200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Annuités</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64</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62</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55</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47</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46</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44</w:t>
            </w:r>
          </w:p>
        </w:tc>
        <w:tc>
          <w:tcPr>
            <w:tcW w:w="111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42</w:t>
            </w:r>
          </w:p>
        </w:tc>
      </w:tr>
      <w:tr w:rsidR="00F5712A" w:rsidRPr="00F5712A" w:rsidTr="00F5712A">
        <w:trPr>
          <w:trHeight w:val="211"/>
        </w:trPr>
        <w:tc>
          <w:tcPr>
            <w:tcW w:w="2009"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Capital</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51</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50</w:t>
            </w:r>
          </w:p>
        </w:tc>
        <w:tc>
          <w:tcPr>
            <w:tcW w:w="1113" w:type="dxa"/>
            <w:tcBorders>
              <w:top w:val="single" w:sz="6" w:space="0" w:color="000000"/>
              <w:left w:val="single" w:sz="6" w:space="0" w:color="000000"/>
              <w:bottom w:val="single" w:sz="6" w:space="0" w:color="000000"/>
              <w:right w:val="single" w:sz="6" w:space="0" w:color="000000"/>
            </w:tcBorders>
            <w:shd w:val="clear" w:color="auto" w:fill="E0ECF3"/>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45</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38</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36</w:t>
            </w:r>
          </w:p>
        </w:tc>
        <w:tc>
          <w:tcPr>
            <w:tcW w:w="1113"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36</w:t>
            </w:r>
          </w:p>
        </w:tc>
        <w:tc>
          <w:tcPr>
            <w:tcW w:w="1119" w:type="dxa"/>
            <w:tcBorders>
              <w:top w:val="single" w:sz="6" w:space="0" w:color="000000"/>
              <w:left w:val="single" w:sz="6" w:space="0" w:color="000000"/>
              <w:bottom w:val="single" w:sz="6" w:space="0" w:color="000000"/>
              <w:right w:val="single" w:sz="6" w:space="0" w:color="000000"/>
            </w:tcBorders>
            <w:shd w:val="clear" w:color="auto" w:fill="C4DCEA"/>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36</w:t>
            </w:r>
          </w:p>
        </w:tc>
      </w:tr>
      <w:tr w:rsidR="00F5712A" w:rsidRPr="00F5712A" w:rsidTr="00F5712A">
        <w:trPr>
          <w:trHeight w:val="199"/>
        </w:trPr>
        <w:tc>
          <w:tcPr>
            <w:tcW w:w="200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Intérêts</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13</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12</w:t>
            </w:r>
          </w:p>
        </w:tc>
        <w:tc>
          <w:tcPr>
            <w:tcW w:w="11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10</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9</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10</w:t>
            </w:r>
          </w:p>
        </w:tc>
        <w:tc>
          <w:tcPr>
            <w:tcW w:w="1113"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7</w:t>
            </w:r>
          </w:p>
        </w:tc>
        <w:tc>
          <w:tcPr>
            <w:tcW w:w="1119"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7</w:t>
            </w:r>
          </w:p>
        </w:tc>
      </w:tr>
    </w:tbl>
    <w:p w:rsidR="00F5712A" w:rsidRPr="00F5712A" w:rsidRDefault="00F5712A" w:rsidP="00F5712A">
      <w:pPr>
        <w:spacing w:after="0" w:line="240" w:lineRule="auto"/>
        <w:jc w:val="both"/>
        <w:rPr>
          <w:rFonts w:ascii="Arial" w:eastAsia="Arial" w:hAnsi="Arial" w:cs="Arial"/>
          <w:color w:val="000000"/>
          <w:sz w:val="22"/>
          <w:szCs w:val="22"/>
          <w:lang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r w:rsidRPr="00F5712A">
        <w:rPr>
          <w:rFonts w:ascii="Arial" w:eastAsia="Arial" w:hAnsi="Arial" w:cs="Arial"/>
          <w:color w:val="000000"/>
          <w:sz w:val="22"/>
          <w:szCs w:val="22"/>
          <w:lang w:eastAsia="zh-CN"/>
        </w:rPr>
        <w:t>L’annuité de la dette moyenne des communes de même strate s’élève à 109 euros par habitant en 2017. Elle est donc supérieure de 75,8% à celle du Péage.</w:t>
      </w:r>
    </w:p>
    <w:p w:rsidR="00F5712A" w:rsidRPr="00F5712A" w:rsidRDefault="00F5712A" w:rsidP="00F5712A">
      <w:pPr>
        <w:spacing w:after="0" w:line="240" w:lineRule="auto"/>
        <w:rPr>
          <w:rFonts w:ascii="Arial" w:eastAsia="Arial" w:hAnsi="Arial" w:cs="Arial"/>
          <w:color w:val="000000"/>
          <w:sz w:val="22"/>
          <w:szCs w:val="22"/>
          <w:lang w:eastAsia="zh-CN"/>
        </w:rPr>
      </w:pPr>
    </w:p>
    <w:p w:rsidR="00F5712A" w:rsidRPr="00F5712A" w:rsidRDefault="00F5712A" w:rsidP="00F5712A">
      <w:pPr>
        <w:spacing w:after="0" w:line="240" w:lineRule="auto"/>
        <w:rPr>
          <w:rFonts w:ascii="Times New Roman" w:eastAsia="Times New Roman" w:hAnsi="Times New Roman" w:cs="Times New Roman"/>
          <w:color w:val="000000"/>
          <w:sz w:val="20"/>
          <w:szCs w:val="20"/>
          <w:lang w:eastAsia="zh-CN"/>
        </w:rPr>
      </w:pPr>
    </w:p>
    <w:tbl>
      <w:tblPr>
        <w:tblW w:w="10545" w:type="dxa"/>
        <w:tblLayout w:type="fixed"/>
        <w:tblCellMar>
          <w:left w:w="0" w:type="dxa"/>
          <w:right w:w="0" w:type="dxa"/>
        </w:tblCellMar>
        <w:tblLook w:val="01E0" w:firstRow="1" w:lastRow="1" w:firstColumn="1" w:lastColumn="1" w:noHBand="0" w:noVBand="0"/>
      </w:tblPr>
      <w:tblGrid>
        <w:gridCol w:w="10545"/>
      </w:tblGrid>
      <w:tr w:rsidR="00F5712A" w:rsidRPr="00F5712A" w:rsidTr="00F5712A">
        <w:tc>
          <w:tcPr>
            <w:tcW w:w="10545" w:type="dxa"/>
            <w:tcMar>
              <w:top w:w="0" w:type="dxa"/>
              <w:left w:w="0" w:type="dxa"/>
              <w:bottom w:w="0" w:type="dxa"/>
              <w:right w:w="0" w:type="dxa"/>
            </w:tcMar>
            <w:vAlign w:val="center"/>
          </w:tcPr>
          <w:p w:rsidR="00F5712A" w:rsidRPr="00F5712A" w:rsidRDefault="00F5712A" w:rsidP="00F5712A">
            <w:pPr>
              <w:spacing w:after="0" w:line="240" w:lineRule="auto"/>
              <w:jc w:val="both"/>
              <w:rPr>
                <w:rFonts w:ascii="Arial" w:eastAsia="Times New Roman" w:hAnsi="Arial" w:cs="Arial"/>
                <w:b/>
                <w:bCs/>
                <w:color w:val="005C73"/>
                <w:sz w:val="22"/>
                <w:szCs w:val="22"/>
                <w:u w:val="single"/>
                <w:lang w:eastAsia="zh-CN"/>
              </w:rPr>
            </w:pPr>
            <w:bookmarkStart w:id="24" w:name="__bookmark_35"/>
            <w:bookmarkEnd w:id="24"/>
            <w:r w:rsidRPr="00F5712A">
              <w:rPr>
                <w:rFonts w:ascii="Arial" w:eastAsia="Times New Roman" w:hAnsi="Arial" w:cs="Arial"/>
                <w:b/>
                <w:bCs/>
                <w:sz w:val="22"/>
                <w:szCs w:val="22"/>
                <w:u w:val="single"/>
                <w:lang w:eastAsia="zh-CN"/>
              </w:rPr>
              <w:t>Le ratio de désendettement</w:t>
            </w:r>
          </w:p>
          <w:p w:rsidR="00F5712A" w:rsidRPr="00F5712A" w:rsidRDefault="00F5712A" w:rsidP="00F5712A">
            <w:pPr>
              <w:spacing w:after="0" w:line="1" w:lineRule="auto"/>
              <w:jc w:val="both"/>
              <w:rPr>
                <w:rFonts w:ascii="Times New Roman" w:eastAsia="Times New Roman" w:hAnsi="Times New Roman" w:cs="Times New Roman"/>
                <w:sz w:val="20"/>
                <w:szCs w:val="20"/>
                <w:lang w:eastAsia="zh-CN"/>
              </w:rPr>
            </w:pPr>
          </w:p>
        </w:tc>
      </w:tr>
    </w:tbl>
    <w:p w:rsidR="00F5712A" w:rsidRPr="00F5712A" w:rsidRDefault="00F5712A" w:rsidP="00F5712A">
      <w:pPr>
        <w:spacing w:after="0" w:line="240" w:lineRule="auto"/>
        <w:jc w:val="both"/>
        <w:rPr>
          <w:rFonts w:ascii="Times New Roman" w:eastAsia="Times New Roman" w:hAnsi="Times New Roman" w:cs="Times New Roman"/>
          <w:color w:val="000000"/>
          <w:sz w:val="20"/>
          <w:szCs w:val="20"/>
          <w:lang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r w:rsidRPr="00F5712A">
        <w:rPr>
          <w:rFonts w:ascii="Arial" w:eastAsia="Arial" w:hAnsi="Arial" w:cs="Arial"/>
          <w:color w:val="000000"/>
          <w:sz w:val="22"/>
          <w:szCs w:val="22"/>
          <w:lang w:eastAsia="zh-CN"/>
        </w:rPr>
        <w:t>Le ratio de désendettement est un indicateur défini par le ministère des finances. Il détermine le nombre d'années nécessaires à la collectivité pour éteindre totalement sa dette par mobilisation et affectation en totalité de son épargne brute annuelle. Il se calcule selon la règle suivante : encours de dette au 31 décembre de l'année budgétaire en cours / épargne brute de l'année en cours.</w:t>
      </w:r>
    </w:p>
    <w:p w:rsidR="00F5712A" w:rsidRPr="00F5712A" w:rsidRDefault="00F5712A" w:rsidP="00F5712A">
      <w:pPr>
        <w:spacing w:after="0" w:line="240" w:lineRule="auto"/>
        <w:jc w:val="both"/>
        <w:rPr>
          <w:rFonts w:ascii="Times New Roman" w:eastAsia="Times New Roman" w:hAnsi="Times New Roman" w:cs="Times New Roman"/>
          <w:color w:val="000000"/>
          <w:sz w:val="22"/>
          <w:szCs w:val="22"/>
          <w:lang w:eastAsia="zh-CN"/>
        </w:rPr>
      </w:pPr>
    </w:p>
    <w:p w:rsidR="00F5712A" w:rsidRPr="00F5712A" w:rsidRDefault="00F5712A" w:rsidP="00F5712A">
      <w:pPr>
        <w:spacing w:after="0" w:line="240" w:lineRule="auto"/>
        <w:jc w:val="both"/>
        <w:rPr>
          <w:rFonts w:ascii="Arial" w:eastAsia="Arial" w:hAnsi="Arial" w:cs="Arial"/>
          <w:color w:val="000000"/>
          <w:sz w:val="22"/>
          <w:szCs w:val="22"/>
          <w:lang w:eastAsia="zh-CN"/>
        </w:rPr>
      </w:pPr>
      <w:r w:rsidRPr="00F5712A">
        <w:rPr>
          <w:rFonts w:ascii="Arial" w:eastAsia="Arial" w:hAnsi="Arial" w:cs="Arial"/>
          <w:color w:val="000000"/>
          <w:sz w:val="22"/>
          <w:szCs w:val="22"/>
          <w:lang w:eastAsia="zh-CN"/>
        </w:rPr>
        <w:t>La capacité de désendettement pour la collectivité évoluerait comme suit :</w:t>
      </w:r>
    </w:p>
    <w:p w:rsidR="00F5712A" w:rsidRPr="00F5712A" w:rsidRDefault="00F5712A" w:rsidP="00F5712A">
      <w:pPr>
        <w:spacing w:after="0" w:line="240" w:lineRule="auto"/>
        <w:jc w:val="both"/>
        <w:rPr>
          <w:rFonts w:ascii="Arial" w:eastAsia="Times New Roman" w:hAnsi="Arial" w:cs="Arial"/>
          <w:noProof/>
          <w:sz w:val="22"/>
          <w:szCs w:val="22"/>
          <w:lang w:eastAsia="fr-FR"/>
        </w:rPr>
      </w:pPr>
      <w:bookmarkStart w:id="25" w:name="__bookmark_37"/>
      <w:bookmarkEnd w:id="25"/>
    </w:p>
    <w:tbl>
      <w:tblPr>
        <w:tblW w:w="9897" w:type="dxa"/>
        <w:tblLayout w:type="fixed"/>
        <w:tblLook w:val="01E0" w:firstRow="1" w:lastRow="1" w:firstColumn="1" w:lastColumn="1" w:noHBand="0" w:noVBand="0"/>
      </w:tblPr>
      <w:tblGrid>
        <w:gridCol w:w="1237"/>
        <w:gridCol w:w="1237"/>
        <w:gridCol w:w="1237"/>
        <w:gridCol w:w="1237"/>
        <w:gridCol w:w="1237"/>
        <w:gridCol w:w="1237"/>
        <w:gridCol w:w="1237"/>
        <w:gridCol w:w="1238"/>
      </w:tblGrid>
      <w:tr w:rsidR="00F5712A" w:rsidRPr="00F5712A" w:rsidTr="00F5712A">
        <w:trPr>
          <w:trHeight w:val="233"/>
          <w:tblHeader/>
        </w:trPr>
        <w:tc>
          <w:tcPr>
            <w:tcW w:w="1237"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1" w:lineRule="auto"/>
              <w:jc w:val="center"/>
              <w:rPr>
                <w:rFonts w:ascii="Times New Roman" w:eastAsia="Times New Roman" w:hAnsi="Times New Roman" w:cs="Times New Roman"/>
                <w:sz w:val="22"/>
                <w:szCs w:val="22"/>
                <w:lang w:val="en-US" w:eastAsia="zh-CN"/>
              </w:rPr>
            </w:pPr>
          </w:p>
        </w:tc>
        <w:tc>
          <w:tcPr>
            <w:tcW w:w="1237"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2016</w:t>
            </w:r>
          </w:p>
        </w:tc>
        <w:tc>
          <w:tcPr>
            <w:tcW w:w="1237"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2017</w:t>
            </w:r>
          </w:p>
        </w:tc>
        <w:tc>
          <w:tcPr>
            <w:tcW w:w="1237" w:type="dxa"/>
            <w:tcBorders>
              <w:top w:val="single" w:sz="6" w:space="0" w:color="000000"/>
              <w:left w:val="single" w:sz="6" w:space="0" w:color="000000"/>
              <w:bottom w:val="single" w:sz="6" w:space="0" w:color="000000"/>
              <w:right w:val="single" w:sz="6" w:space="0" w:color="000000"/>
            </w:tcBorders>
            <w:shd w:val="clear" w:color="auto" w:fill="00809F"/>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2018</w:t>
            </w:r>
          </w:p>
        </w:tc>
        <w:tc>
          <w:tcPr>
            <w:tcW w:w="1237"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2019</w:t>
            </w:r>
          </w:p>
        </w:tc>
        <w:tc>
          <w:tcPr>
            <w:tcW w:w="1237"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2020</w:t>
            </w:r>
          </w:p>
        </w:tc>
        <w:tc>
          <w:tcPr>
            <w:tcW w:w="1237"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2021</w:t>
            </w:r>
          </w:p>
        </w:tc>
        <w:tc>
          <w:tcPr>
            <w:tcW w:w="1238" w:type="dxa"/>
            <w:tcBorders>
              <w:top w:val="single" w:sz="6" w:space="0" w:color="000000"/>
              <w:left w:val="single" w:sz="6" w:space="0" w:color="000000"/>
              <w:bottom w:val="single" w:sz="6" w:space="0" w:color="000000"/>
              <w:right w:val="single" w:sz="6" w:space="0" w:color="000000"/>
            </w:tcBorders>
            <w:shd w:val="clear" w:color="auto" w:fill="005C73"/>
            <w:tcMar>
              <w:top w:w="0" w:type="dxa"/>
              <w:left w:w="0" w:type="dxa"/>
              <w:bottom w:w="0" w:type="dxa"/>
              <w:right w:w="0" w:type="dxa"/>
            </w:tcMar>
            <w:vAlign w:val="center"/>
          </w:tcPr>
          <w:p w:rsidR="00F5712A" w:rsidRPr="00F5712A" w:rsidRDefault="00F5712A" w:rsidP="00F5712A">
            <w:pPr>
              <w:spacing w:after="0" w:line="240" w:lineRule="auto"/>
              <w:jc w:val="center"/>
              <w:rPr>
                <w:rFonts w:ascii="Arial" w:eastAsia="Arial" w:hAnsi="Arial" w:cs="Arial"/>
                <w:b/>
                <w:bCs/>
                <w:color w:val="FFFFFF"/>
                <w:sz w:val="22"/>
                <w:szCs w:val="22"/>
                <w:lang w:val="en-US" w:eastAsia="zh-CN"/>
              </w:rPr>
            </w:pPr>
            <w:r w:rsidRPr="00F5712A">
              <w:rPr>
                <w:rFonts w:ascii="Arial" w:eastAsia="Arial" w:hAnsi="Arial" w:cs="Arial"/>
                <w:b/>
                <w:bCs/>
                <w:color w:val="FFFFFF"/>
                <w:sz w:val="22"/>
                <w:szCs w:val="22"/>
                <w:lang w:val="en-US" w:eastAsia="zh-CN"/>
              </w:rPr>
              <w:t>2022</w:t>
            </w:r>
          </w:p>
        </w:tc>
      </w:tr>
      <w:tr w:rsidR="00F5712A" w:rsidRPr="00F5712A" w:rsidTr="00F5712A">
        <w:trPr>
          <w:trHeight w:val="233"/>
        </w:trPr>
        <w:tc>
          <w:tcPr>
            <w:tcW w:w="1237"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Ratio</w:t>
            </w:r>
          </w:p>
        </w:tc>
        <w:tc>
          <w:tcPr>
            <w:tcW w:w="123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2,9 ans</w:t>
            </w:r>
          </w:p>
        </w:tc>
        <w:tc>
          <w:tcPr>
            <w:tcW w:w="123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2,3 ans</w:t>
            </w:r>
          </w:p>
        </w:tc>
        <w:tc>
          <w:tcPr>
            <w:tcW w:w="123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1,8 ans</w:t>
            </w:r>
          </w:p>
        </w:tc>
        <w:tc>
          <w:tcPr>
            <w:tcW w:w="1237"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2,7 ans</w:t>
            </w:r>
          </w:p>
        </w:tc>
        <w:tc>
          <w:tcPr>
            <w:tcW w:w="1237"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2,6 ans</w:t>
            </w:r>
          </w:p>
        </w:tc>
        <w:tc>
          <w:tcPr>
            <w:tcW w:w="1237"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2,8 ans</w:t>
            </w:r>
          </w:p>
        </w:tc>
        <w:tc>
          <w:tcPr>
            <w:tcW w:w="1238"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tcPr>
          <w:p w:rsidR="00F5712A" w:rsidRPr="00F5712A" w:rsidRDefault="00F5712A" w:rsidP="00F5712A">
            <w:pPr>
              <w:spacing w:after="0" w:line="240" w:lineRule="auto"/>
              <w:jc w:val="right"/>
              <w:rPr>
                <w:rFonts w:ascii="Arial" w:eastAsia="Arial" w:hAnsi="Arial" w:cs="Arial"/>
                <w:color w:val="000000"/>
                <w:sz w:val="22"/>
                <w:szCs w:val="22"/>
                <w:lang w:val="en-US" w:eastAsia="zh-CN"/>
              </w:rPr>
            </w:pPr>
            <w:r w:rsidRPr="00F5712A">
              <w:rPr>
                <w:rFonts w:ascii="Arial" w:eastAsia="Arial" w:hAnsi="Arial" w:cs="Arial"/>
                <w:color w:val="000000"/>
                <w:sz w:val="22"/>
                <w:szCs w:val="22"/>
                <w:lang w:val="en-US" w:eastAsia="zh-CN"/>
              </w:rPr>
              <w:t>3,2 ans</w:t>
            </w:r>
          </w:p>
        </w:tc>
      </w:tr>
    </w:tbl>
    <w:p w:rsidR="00F5712A" w:rsidRPr="00F5712A" w:rsidRDefault="00F5712A" w:rsidP="00F5712A">
      <w:pPr>
        <w:spacing w:after="0" w:line="240" w:lineRule="auto"/>
        <w:jc w:val="both"/>
        <w:rPr>
          <w:rFonts w:ascii="Arial" w:eastAsia="Times New Roman" w:hAnsi="Arial" w:cs="Arial"/>
          <w:noProof/>
          <w:sz w:val="22"/>
          <w:szCs w:val="22"/>
          <w:lang w:eastAsia="fr-FR"/>
        </w:rPr>
      </w:pPr>
    </w:p>
    <w:p w:rsidR="00F5712A" w:rsidRPr="00F5712A" w:rsidRDefault="00F5712A" w:rsidP="00F5712A">
      <w:pPr>
        <w:spacing w:after="0" w:line="240" w:lineRule="auto"/>
        <w:jc w:val="both"/>
        <w:rPr>
          <w:rFonts w:ascii="Arial" w:eastAsia="Times New Roman" w:hAnsi="Arial" w:cs="Arial"/>
          <w:noProof/>
          <w:sz w:val="22"/>
          <w:szCs w:val="22"/>
          <w:lang w:eastAsia="fr-FR"/>
        </w:rPr>
      </w:pPr>
      <w:r w:rsidRPr="00F5712A">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2848" behindDoc="0" locked="0" layoutInCell="1" allowOverlap="1" wp14:anchorId="29A87C4F" wp14:editId="3FB5BAD1">
                <wp:simplePos x="0" y="0"/>
                <wp:positionH relativeFrom="column">
                  <wp:posOffset>0</wp:posOffset>
                </wp:positionH>
                <wp:positionV relativeFrom="paragraph">
                  <wp:posOffset>0</wp:posOffset>
                </wp:positionV>
                <wp:extent cx="635000" cy="635000"/>
                <wp:effectExtent l="0" t="0" r="3175" b="3175"/>
                <wp:wrapNone/>
                <wp:docPr id="3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3EBEE" id="AutoShape 2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JR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rzOMBOlBo7utlT40SmC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xEl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5712A">
        <w:rPr>
          <w:rFonts w:ascii="Arial" w:eastAsia="Times New Roman" w:hAnsi="Arial" w:cs="Arial"/>
          <w:noProof/>
          <w:sz w:val="22"/>
          <w:szCs w:val="22"/>
          <w:lang w:eastAsia="fr-FR"/>
        </w:rPr>
        <w:t>Le plafond national de référence pour la capacité de désendettement s’élève à 12 ans pour les communes, en vertu de la loi de programmation des finances publiques pour 2018-2022. La capacité de désendettement de la commune reste donc nettement inférieure à ce plafond.</w:t>
      </w:r>
    </w:p>
    <w:p w:rsidR="00F5712A" w:rsidRPr="00F5712A" w:rsidRDefault="00F5712A" w:rsidP="00F5712A">
      <w:pPr>
        <w:spacing w:after="0" w:line="240" w:lineRule="auto"/>
        <w:jc w:val="both"/>
        <w:rPr>
          <w:rFonts w:ascii="Arial" w:eastAsia="Times New Roman" w:hAnsi="Arial" w:cs="Arial"/>
          <w:noProof/>
          <w:sz w:val="22"/>
          <w:szCs w:val="22"/>
          <w:lang w:eastAsia="fr-FR"/>
        </w:rPr>
      </w:pPr>
    </w:p>
    <w:p w:rsidR="00F5712A" w:rsidRPr="00F5712A" w:rsidRDefault="00F5712A" w:rsidP="00F5712A">
      <w:pPr>
        <w:spacing w:after="0" w:line="240" w:lineRule="auto"/>
        <w:jc w:val="both"/>
        <w:rPr>
          <w:rFonts w:ascii="Arial" w:eastAsia="Times New Roman" w:hAnsi="Arial" w:cs="Arial"/>
          <w:noProof/>
          <w:sz w:val="22"/>
          <w:szCs w:val="22"/>
          <w:lang w:eastAsia="fr-FR"/>
        </w:rPr>
      </w:pPr>
      <w:r w:rsidRPr="00F5712A">
        <w:rPr>
          <w:rFonts w:ascii="Arial" w:eastAsia="Times New Roman" w:hAnsi="Arial" w:cs="Arial"/>
          <w:noProof/>
          <w:sz w:val="22"/>
          <w:szCs w:val="22"/>
          <w:lang w:eastAsia="fr-FR"/>
        </w:rPr>
        <w:t>Le graphique suivant retrace l’évolution du ratio de désendettement et celui du capital de dette restant dû, en fonction des hypothèses de la prospective financière.</w:t>
      </w:r>
    </w:p>
    <w:p w:rsidR="00F5712A" w:rsidRPr="00F5712A" w:rsidRDefault="00F5712A" w:rsidP="00F5712A">
      <w:pPr>
        <w:spacing w:after="0" w:line="240" w:lineRule="auto"/>
        <w:rPr>
          <w:rFonts w:ascii="Times New Roman" w:eastAsia="Times New Roman" w:hAnsi="Times New Roman" w:cs="Times New Roman"/>
          <w:sz w:val="20"/>
          <w:szCs w:val="20"/>
          <w:lang w:val="en-US" w:eastAsia="zh-CN"/>
        </w:rPr>
      </w:pPr>
      <w:r w:rsidRPr="00F5712A">
        <w:rPr>
          <w:rFonts w:ascii="Times New Roman" w:eastAsia="Times New Roman" w:hAnsi="Times New Roman" w:cs="Times New Roman"/>
          <w:noProof/>
          <w:sz w:val="20"/>
          <w:szCs w:val="20"/>
          <w:lang w:eastAsia="fr-FR"/>
        </w:rPr>
        <w:drawing>
          <wp:inline distT="0" distB="0" distL="0" distR="0" wp14:anchorId="39CCAEC8" wp14:editId="7C59F3BD">
            <wp:extent cx="6229350" cy="3461752"/>
            <wp:effectExtent l="0" t="0" r="0" b="5715"/>
            <wp:docPr id="10" name="Image 10" descr="ooxWord://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oxWord://media/image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4145" cy="3469974"/>
                    </a:xfrm>
                    <a:prstGeom prst="rect">
                      <a:avLst/>
                    </a:prstGeom>
                    <a:noFill/>
                    <a:ln>
                      <a:noFill/>
                    </a:ln>
                  </pic:spPr>
                </pic:pic>
              </a:graphicData>
            </a:graphic>
          </wp:inline>
        </w:drawing>
      </w:r>
    </w:p>
    <w:p w:rsidR="00F5712A" w:rsidRPr="00F5712A" w:rsidRDefault="00F5712A" w:rsidP="00F5712A">
      <w:pPr>
        <w:spacing w:after="0" w:line="240" w:lineRule="auto"/>
        <w:jc w:val="both"/>
        <w:rPr>
          <w:rFonts w:ascii="Times New Roman" w:eastAsia="Times New Roman" w:hAnsi="Times New Roman" w:cs="Times New Roman"/>
          <w:color w:val="000000"/>
          <w:sz w:val="20"/>
          <w:szCs w:val="20"/>
          <w:lang w:eastAsia="zh-CN"/>
        </w:rPr>
      </w:pPr>
    </w:p>
    <w:p w:rsidR="00F5712A" w:rsidRPr="00F5712A" w:rsidRDefault="00F5712A" w:rsidP="00F5712A">
      <w:pPr>
        <w:spacing w:after="0" w:line="240" w:lineRule="auto"/>
        <w:jc w:val="both"/>
        <w:rPr>
          <w:rFonts w:ascii="Arial" w:eastAsia="Times New Roman" w:hAnsi="Arial" w:cs="Arial"/>
          <w:color w:val="0070C0"/>
          <w:sz w:val="22"/>
          <w:szCs w:val="22"/>
          <w:lang w:eastAsia="zh-CN"/>
        </w:rPr>
      </w:pPr>
      <w:r w:rsidRPr="00F5712A">
        <w:rPr>
          <w:rFonts w:ascii="Arial" w:eastAsia="Times New Roman" w:hAnsi="Arial" w:cs="Arial"/>
          <w:sz w:val="22"/>
          <w:szCs w:val="22"/>
          <w:lang w:eastAsia="zh-CN"/>
        </w:rPr>
        <w:t>Ces graphiques matérialisant ce que pourrait être l’évolution de la dette communale montrent que l’encours de la dette reste stable pour les années à venir, la commune ne s’endettant pas davantage puisque la période étudiée s’achèverait avec un endettement de 1 963 552 euros alors qu’il s’élevait à 2 974 617 euros au 1</w:t>
      </w:r>
      <w:r w:rsidRPr="00F5712A">
        <w:rPr>
          <w:rFonts w:ascii="Arial" w:eastAsia="Times New Roman" w:hAnsi="Arial" w:cs="Arial"/>
          <w:sz w:val="22"/>
          <w:szCs w:val="22"/>
          <w:vertAlign w:val="superscript"/>
          <w:lang w:eastAsia="zh-CN"/>
        </w:rPr>
        <w:t>er</w:t>
      </w:r>
      <w:r w:rsidRPr="00F5712A">
        <w:rPr>
          <w:rFonts w:ascii="Arial" w:eastAsia="Times New Roman" w:hAnsi="Arial" w:cs="Arial"/>
          <w:sz w:val="22"/>
          <w:szCs w:val="22"/>
          <w:lang w:eastAsia="zh-CN"/>
        </w:rPr>
        <w:t xml:space="preserve"> janvier 2016.</w:t>
      </w:r>
    </w:p>
    <w:p w:rsidR="00F5712A" w:rsidRPr="00F5712A" w:rsidRDefault="00F5712A" w:rsidP="00F5712A">
      <w:pPr>
        <w:spacing w:after="0" w:line="240" w:lineRule="auto"/>
        <w:jc w:val="both"/>
        <w:rPr>
          <w:rFonts w:ascii="Arial" w:eastAsia="Times New Roman" w:hAnsi="Arial" w:cs="Arial"/>
          <w:color w:val="0070C0"/>
          <w:sz w:val="22"/>
          <w:szCs w:val="22"/>
          <w:lang w:eastAsia="zh-CN"/>
        </w:rPr>
      </w:pPr>
    </w:p>
    <w:p w:rsidR="00F5712A" w:rsidRPr="00F5712A" w:rsidRDefault="00F5712A" w:rsidP="00F5712A">
      <w:pPr>
        <w:spacing w:after="0" w:line="240" w:lineRule="auto"/>
        <w:jc w:val="both"/>
        <w:rPr>
          <w:rFonts w:ascii="Times New Roman" w:eastAsia="Times New Roman" w:hAnsi="Times New Roman" w:cs="Times New Roman"/>
          <w:color w:val="000000"/>
          <w:sz w:val="20"/>
          <w:szCs w:val="20"/>
          <w:lang w:eastAsia="zh-CN"/>
        </w:rPr>
      </w:pPr>
      <w:r w:rsidRPr="00F5712A">
        <w:rPr>
          <w:rFonts w:ascii="Arial" w:eastAsia="Times New Roman" w:hAnsi="Arial" w:cs="Arial"/>
          <w:sz w:val="22"/>
          <w:szCs w:val="22"/>
          <w:lang w:eastAsia="zh-CN"/>
        </w:rPr>
        <w:t>Les différentes hypothèses étudiées, tant en matière d’évolution de la section de fonctionnement que de la section d’investissement, permettent d’obtenir un budget équilibré chaque année, avec une épargne nette positive, qui soit au moins supérieure ou proche de 100 000 euros, conformément à l’objectif fixé en 2016.</w:t>
      </w:r>
    </w:p>
    <w:p w:rsidR="00F5712A" w:rsidRPr="00F5712A" w:rsidRDefault="00F5712A" w:rsidP="00F5712A">
      <w:pPr>
        <w:spacing w:after="0" w:line="240" w:lineRule="auto"/>
        <w:jc w:val="both"/>
        <w:rPr>
          <w:rFonts w:ascii="Times New Roman" w:eastAsia="Times New Roman" w:hAnsi="Times New Roman" w:cs="Times New Roman"/>
          <w:color w:val="000000"/>
          <w:sz w:val="20"/>
          <w:szCs w:val="20"/>
          <w:lang w:eastAsia="zh-CN"/>
        </w:rPr>
      </w:pPr>
    </w:p>
    <w:p w:rsidR="00AA119F" w:rsidRPr="00FE1B8E" w:rsidRDefault="00AA119F" w:rsidP="00AA119F">
      <w:pPr>
        <w:contextualSpacing/>
        <w:jc w:val="both"/>
        <w:rPr>
          <w:rFonts w:ascii="Arial" w:eastAsia="Calibri" w:hAnsi="Arial" w:cs="Arial"/>
          <w:i/>
          <w:sz w:val="22"/>
          <w:szCs w:val="22"/>
        </w:rPr>
      </w:pPr>
      <w:r w:rsidRPr="00FE1B8E">
        <w:rPr>
          <w:rFonts w:ascii="Arial" w:eastAsia="Calibri" w:hAnsi="Arial" w:cs="Arial"/>
          <w:i/>
          <w:sz w:val="22"/>
          <w:szCs w:val="22"/>
          <w:u w:val="single"/>
        </w:rPr>
        <w:t>Résultats du vote</w:t>
      </w:r>
      <w:r w:rsidRPr="00FE1B8E">
        <w:rPr>
          <w:rFonts w:ascii="Arial" w:eastAsia="Calibri" w:hAnsi="Arial" w:cs="Arial"/>
          <w:i/>
          <w:sz w:val="22"/>
          <w:szCs w:val="22"/>
        </w:rPr>
        <w:t> :</w:t>
      </w:r>
    </w:p>
    <w:p w:rsidR="00AA119F" w:rsidRPr="00FE1B8E" w:rsidRDefault="00AA119F" w:rsidP="00AA119F">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Abstentions : 0</w:t>
      </w:r>
    </w:p>
    <w:p w:rsidR="00AA119F" w:rsidRPr="00FE1B8E" w:rsidRDefault="00AA119F" w:rsidP="00AA119F">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Contre : 0</w:t>
      </w:r>
    </w:p>
    <w:p w:rsidR="00AA119F" w:rsidRPr="00FE1B8E" w:rsidRDefault="00AA119F" w:rsidP="00AA119F">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Pour : 27</w:t>
      </w:r>
    </w:p>
    <w:p w:rsidR="00AA119F" w:rsidRDefault="00AA119F" w:rsidP="003E2566">
      <w:pPr>
        <w:spacing w:after="0" w:line="259" w:lineRule="auto"/>
        <w:jc w:val="both"/>
        <w:rPr>
          <w:rFonts w:ascii="Arial" w:eastAsia="Calibri" w:hAnsi="Arial" w:cs="Arial"/>
        </w:rPr>
      </w:pPr>
    </w:p>
    <w:p w:rsidR="00AA119F" w:rsidRDefault="00AA119F" w:rsidP="003E2566">
      <w:pPr>
        <w:spacing w:after="0" w:line="259" w:lineRule="auto"/>
        <w:jc w:val="both"/>
        <w:rPr>
          <w:rFonts w:ascii="Arial" w:eastAsia="Calibri" w:hAnsi="Arial" w:cs="Arial"/>
        </w:rPr>
      </w:pPr>
    </w:p>
    <w:p w:rsidR="0059393E" w:rsidRPr="0059393E" w:rsidRDefault="0059393E" w:rsidP="0059393E">
      <w:pPr>
        <w:spacing w:after="0" w:line="259" w:lineRule="auto"/>
        <w:jc w:val="both"/>
        <w:rPr>
          <w:rFonts w:ascii="Arial" w:eastAsia="Calibri" w:hAnsi="Arial" w:cs="Arial"/>
        </w:rPr>
      </w:pPr>
      <w:r w:rsidRPr="0059393E">
        <w:rPr>
          <w:rFonts w:ascii="Arial" w:hAnsi="Arial" w:cs="Arial"/>
          <w:b/>
          <w:bCs/>
          <w:i/>
          <w:iCs/>
          <w:sz w:val="22"/>
          <w:szCs w:val="22"/>
        </w:rPr>
        <w:t xml:space="preserve">Sur proposition de la commission des finances, le </w:t>
      </w:r>
      <w:r>
        <w:rPr>
          <w:rFonts w:ascii="Arial" w:hAnsi="Arial" w:cs="Arial"/>
          <w:b/>
          <w:bCs/>
          <w:i/>
          <w:iCs/>
          <w:sz w:val="22"/>
          <w:szCs w:val="22"/>
        </w:rPr>
        <w:t>c</w:t>
      </w:r>
      <w:r w:rsidRPr="0059393E">
        <w:rPr>
          <w:rFonts w:ascii="Arial" w:hAnsi="Arial" w:cs="Arial"/>
          <w:b/>
          <w:bCs/>
          <w:i/>
          <w:iCs/>
          <w:sz w:val="22"/>
          <w:szCs w:val="22"/>
        </w:rPr>
        <w:t>onseil municipal, après en avoir délibéré, à l’unanimité, prend acte de la tenue du débat d’orientations budgétaires à l’appui du présent rapport.</w:t>
      </w:r>
    </w:p>
    <w:p w:rsidR="00183E2D" w:rsidRDefault="00183E2D" w:rsidP="003E2566">
      <w:pPr>
        <w:spacing w:after="0" w:line="259" w:lineRule="auto"/>
        <w:jc w:val="both"/>
        <w:rPr>
          <w:rFonts w:ascii="Arial" w:eastAsia="Calibri" w:hAnsi="Arial" w:cs="Arial"/>
        </w:rPr>
      </w:pPr>
    </w:p>
    <w:p w:rsidR="00280AFC" w:rsidRDefault="00280AFC" w:rsidP="003E2566">
      <w:pPr>
        <w:spacing w:after="0" w:line="259" w:lineRule="auto"/>
        <w:jc w:val="both"/>
        <w:rPr>
          <w:rFonts w:ascii="Arial" w:eastAsia="Calibri" w:hAnsi="Arial" w:cs="Arial"/>
        </w:rPr>
      </w:pPr>
    </w:p>
    <w:p w:rsidR="00F939E4" w:rsidRPr="00F939E4" w:rsidRDefault="00F939E4" w:rsidP="00346E72">
      <w:pPr>
        <w:numPr>
          <w:ilvl w:val="0"/>
          <w:numId w:val="2"/>
        </w:numPr>
        <w:spacing w:after="0" w:line="240" w:lineRule="auto"/>
        <w:ind w:right="1"/>
        <w:jc w:val="both"/>
        <w:rPr>
          <w:rFonts w:ascii="Arial" w:eastAsia="Times New Roman" w:hAnsi="Arial" w:cs="Arial"/>
          <w:b/>
          <w:bCs/>
          <w:color w:val="000000"/>
          <w:sz w:val="22"/>
          <w:szCs w:val="22"/>
          <w:u w:val="single"/>
          <w:lang w:eastAsia="fr-FR"/>
        </w:rPr>
      </w:pPr>
      <w:r w:rsidRPr="00F939E4">
        <w:rPr>
          <w:rFonts w:ascii="Arial" w:eastAsia="Times New Roman" w:hAnsi="Arial" w:cs="Arial"/>
          <w:b/>
          <w:bCs/>
          <w:color w:val="000000"/>
          <w:sz w:val="22"/>
          <w:szCs w:val="22"/>
          <w:u w:val="single"/>
          <w:lang w:eastAsia="fr-FR"/>
        </w:rPr>
        <w:t>Autorisation donnée au Maire pour la signature, avec le Préfet de l’Isère, de la convention pour la transmission électronique des actes au représentant de l’Etat</w:t>
      </w:r>
    </w:p>
    <w:p w:rsidR="00183E2D" w:rsidRDefault="00183E2D" w:rsidP="003E2566">
      <w:pPr>
        <w:spacing w:after="0" w:line="259" w:lineRule="auto"/>
        <w:jc w:val="both"/>
        <w:rPr>
          <w:rFonts w:ascii="Arial" w:eastAsia="Calibri" w:hAnsi="Arial" w:cs="Arial"/>
        </w:rPr>
      </w:pPr>
    </w:p>
    <w:p w:rsidR="00F939E4" w:rsidRDefault="00F939E4" w:rsidP="003E2566">
      <w:pPr>
        <w:spacing w:after="0" w:line="259" w:lineRule="auto"/>
        <w:jc w:val="both"/>
        <w:rPr>
          <w:rFonts w:ascii="Arial" w:eastAsia="Calibri" w:hAnsi="Arial" w:cs="Arial"/>
        </w:rPr>
      </w:pPr>
      <w:r>
        <w:rPr>
          <w:rFonts w:ascii="Arial" w:eastAsia="Calibri" w:hAnsi="Arial" w:cs="Arial"/>
        </w:rPr>
        <w:t>Jacqueline LAMY présente le sujet.</w:t>
      </w:r>
    </w:p>
    <w:p w:rsidR="00F939E4" w:rsidRDefault="00F939E4" w:rsidP="003E2566">
      <w:pPr>
        <w:spacing w:after="0" w:line="259" w:lineRule="auto"/>
        <w:jc w:val="both"/>
        <w:rPr>
          <w:rFonts w:ascii="Arial" w:eastAsia="Calibri" w:hAnsi="Arial" w:cs="Arial"/>
        </w:rPr>
      </w:pPr>
    </w:p>
    <w:p w:rsidR="00F939E4" w:rsidRPr="00F939E4" w:rsidRDefault="00F939E4" w:rsidP="00F939E4">
      <w:pPr>
        <w:spacing w:line="259" w:lineRule="auto"/>
        <w:contextualSpacing/>
        <w:jc w:val="both"/>
        <w:rPr>
          <w:rFonts w:ascii="Arial" w:eastAsia="Times New Roman" w:hAnsi="Arial" w:cs="Arial"/>
          <w:sz w:val="22"/>
          <w:szCs w:val="22"/>
        </w:rPr>
      </w:pPr>
      <w:r>
        <w:rPr>
          <w:rFonts w:ascii="Arial" w:eastAsia="Times New Roman" w:hAnsi="Arial" w:cs="Arial"/>
          <w:sz w:val="22"/>
          <w:szCs w:val="22"/>
        </w:rPr>
        <w:t>« </w:t>
      </w:r>
      <w:r w:rsidRPr="00F939E4">
        <w:rPr>
          <w:rFonts w:ascii="Arial" w:eastAsia="Times New Roman" w:hAnsi="Arial" w:cs="Arial"/>
          <w:sz w:val="22"/>
          <w:szCs w:val="22"/>
        </w:rPr>
        <w:t>Le recours aux échanges électroniques pour le contrôle de légalité est désormais prévu par le code général des collectivités territoriales (CGCT). Pour cela, les collectivités concernées doivent signer avec le représentant de l’Etat dans le département ou dans la région (pour les régions) une « convention de télétransmission », placée en annexe n°1. Elle a pour objet :</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 de porter à la connaissance des services préfectoraux le dispositif utilisé afin qu’ils soient en mesure de vérifier s’il est homologué dans les conditions prévues par le CGCT ;</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 d’établir les engagements respectifs des deux parties pour l’organisation et le fonctionnement de la transmission par voie électronique.</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La convention relève de l’engagement bilatéral entre le représentant de l’État et la collectivité et permet de décliner localement les modalités de mise en œuvre de la transmission par voie électronique. La convention, soumise à l’approbation du conseil municipal, est structurée comme suit :</w:t>
      </w:r>
    </w:p>
    <w:p w:rsidR="00F939E4" w:rsidRPr="00F939E4" w:rsidRDefault="00F939E4" w:rsidP="00346E72">
      <w:pPr>
        <w:numPr>
          <w:ilvl w:val="0"/>
          <w:numId w:val="5"/>
        </w:numPr>
        <w:spacing w:after="0" w:line="259" w:lineRule="auto"/>
        <w:ind w:right="1"/>
        <w:contextualSpacing/>
        <w:jc w:val="both"/>
        <w:rPr>
          <w:rFonts w:ascii="Arial" w:eastAsia="Times New Roman" w:hAnsi="Arial" w:cs="Arial"/>
          <w:sz w:val="22"/>
          <w:szCs w:val="22"/>
        </w:rPr>
      </w:pPr>
      <w:r w:rsidRPr="00F939E4">
        <w:rPr>
          <w:rFonts w:ascii="Arial" w:eastAsia="Times New Roman" w:hAnsi="Arial" w:cs="Arial"/>
          <w:sz w:val="22"/>
          <w:szCs w:val="22"/>
        </w:rPr>
        <w:t>la première partie identifie les parties signataires de la convention ;</w:t>
      </w:r>
    </w:p>
    <w:p w:rsidR="00F939E4" w:rsidRPr="00F939E4" w:rsidRDefault="00F939E4" w:rsidP="00F939E4">
      <w:pPr>
        <w:spacing w:line="259" w:lineRule="auto"/>
        <w:ind w:left="1776"/>
        <w:contextualSpacing/>
        <w:jc w:val="both"/>
        <w:rPr>
          <w:rFonts w:ascii="Arial" w:eastAsia="Times New Roman" w:hAnsi="Arial" w:cs="Arial"/>
          <w:sz w:val="22"/>
          <w:szCs w:val="22"/>
        </w:rPr>
      </w:pPr>
    </w:p>
    <w:p w:rsidR="00F939E4" w:rsidRPr="00F939E4" w:rsidRDefault="00F939E4" w:rsidP="00346E72">
      <w:pPr>
        <w:numPr>
          <w:ilvl w:val="0"/>
          <w:numId w:val="5"/>
        </w:numPr>
        <w:spacing w:after="0" w:line="259" w:lineRule="auto"/>
        <w:ind w:right="1"/>
        <w:contextualSpacing/>
        <w:jc w:val="both"/>
        <w:rPr>
          <w:rFonts w:ascii="Arial" w:eastAsia="Times New Roman" w:hAnsi="Arial" w:cs="Arial"/>
          <w:sz w:val="22"/>
          <w:szCs w:val="22"/>
        </w:rPr>
      </w:pPr>
      <w:r w:rsidRPr="00F939E4">
        <w:rPr>
          <w:rFonts w:ascii="Arial" w:eastAsia="Times New Roman" w:hAnsi="Arial" w:cs="Arial"/>
          <w:sz w:val="22"/>
          <w:szCs w:val="22"/>
        </w:rPr>
        <w:t>la seconde partie référencie l’opérateur qui exploite le dispositif de transmission homologué, la collectivité émettrice et, le cas échéant, l’opérateur de mutualisation ; elle rassemble les informations nécessaires au raccordement de la collectivité émettrice au système d’information @CTES ;</w:t>
      </w:r>
    </w:p>
    <w:p w:rsidR="00F939E4" w:rsidRPr="00F939E4" w:rsidRDefault="00F939E4" w:rsidP="00F939E4">
      <w:pPr>
        <w:spacing w:line="259" w:lineRule="auto"/>
        <w:ind w:left="1776"/>
        <w:contextualSpacing/>
        <w:jc w:val="both"/>
        <w:rPr>
          <w:rFonts w:ascii="Arial" w:eastAsia="Times New Roman" w:hAnsi="Arial" w:cs="Arial"/>
          <w:sz w:val="22"/>
          <w:szCs w:val="22"/>
        </w:rPr>
      </w:pPr>
    </w:p>
    <w:p w:rsidR="00F939E4" w:rsidRPr="00F939E4" w:rsidRDefault="00F939E4" w:rsidP="00346E72">
      <w:pPr>
        <w:numPr>
          <w:ilvl w:val="0"/>
          <w:numId w:val="5"/>
        </w:numPr>
        <w:spacing w:after="0" w:line="259" w:lineRule="auto"/>
        <w:ind w:right="1"/>
        <w:contextualSpacing/>
        <w:jc w:val="both"/>
        <w:rPr>
          <w:rFonts w:ascii="Arial" w:eastAsia="Times New Roman" w:hAnsi="Arial" w:cs="Arial"/>
          <w:sz w:val="22"/>
          <w:szCs w:val="22"/>
        </w:rPr>
      </w:pPr>
      <w:r w:rsidRPr="00F939E4">
        <w:rPr>
          <w:rFonts w:ascii="Arial" w:eastAsia="Times New Roman" w:hAnsi="Arial" w:cs="Arial"/>
          <w:sz w:val="22"/>
          <w:szCs w:val="22"/>
        </w:rPr>
        <w:t>la troisième partie rassemble les clauses sur lesquelles s’engagent les signataires de la convention. Il s’agit, d’une part, de clauses qui doivent obligatoirement y figurer et, d’autre part, de clauses adaptables qui peuvent être déclinées localement sur la base d’un accord mutuel ;</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346E72">
      <w:pPr>
        <w:numPr>
          <w:ilvl w:val="0"/>
          <w:numId w:val="5"/>
        </w:numPr>
        <w:spacing w:after="0" w:line="259" w:lineRule="auto"/>
        <w:ind w:right="1"/>
        <w:contextualSpacing/>
        <w:jc w:val="both"/>
        <w:rPr>
          <w:rFonts w:ascii="Arial" w:eastAsia="Times New Roman" w:hAnsi="Arial" w:cs="Arial"/>
          <w:sz w:val="22"/>
          <w:szCs w:val="22"/>
        </w:rPr>
      </w:pPr>
      <w:r w:rsidRPr="00F939E4">
        <w:rPr>
          <w:rFonts w:ascii="Arial" w:eastAsia="Times New Roman" w:hAnsi="Arial" w:cs="Arial"/>
          <w:sz w:val="22"/>
          <w:szCs w:val="22"/>
        </w:rPr>
        <w:t>la quatrième partie précise la durée et les conditions de validité de la convention.</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Le Maire a signé, en vertu des délibérations du conseil municipal n°2016-055 et 2018-047, respectivement en date du 6 décembre 2016 et 15 novembre 2018, la convention d’adhésion à la plateforme de dématérialisation mise en place par le centre de gestion de la fonction publique</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territoriale de l’Isère. Pour mémoire, après mise en concurrence par le centre de gestion, le prestataire attributaire du marché est ADULLACT, qui assure les missions suivantes :</w:t>
      </w:r>
    </w:p>
    <w:p w:rsidR="00F939E4" w:rsidRPr="00F939E4" w:rsidRDefault="00F939E4" w:rsidP="00F939E4">
      <w:pPr>
        <w:spacing w:line="259" w:lineRule="auto"/>
        <w:ind w:left="720"/>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 la mise à disposition d’une plateforme d’échanges sécurisés (PASTELL),</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 la fourniture d’un tiers de télétransmission homologué par le Ministère de l’Intérieur (EURODAGIO RGS – Chambersign),</w:t>
      </w:r>
    </w:p>
    <w:p w:rsidR="00F939E4" w:rsidRPr="00F939E4" w:rsidRDefault="00F939E4" w:rsidP="00F939E4">
      <w:pPr>
        <w:spacing w:line="259" w:lineRule="auto"/>
        <w:contextualSpacing/>
        <w:jc w:val="both"/>
        <w:rPr>
          <w:rFonts w:ascii="Arial" w:eastAsia="Times New Roman" w:hAnsi="Arial" w:cs="Arial"/>
          <w:sz w:val="22"/>
          <w:szCs w:val="22"/>
        </w:rPr>
      </w:pPr>
    </w:p>
    <w:p w:rsidR="00F939E4" w:rsidRPr="00F939E4" w:rsidRDefault="00F939E4" w:rsidP="00F939E4">
      <w:pPr>
        <w:spacing w:line="259" w:lineRule="auto"/>
        <w:contextualSpacing/>
        <w:jc w:val="both"/>
        <w:rPr>
          <w:rFonts w:ascii="Arial" w:eastAsia="Times New Roman" w:hAnsi="Arial" w:cs="Arial"/>
          <w:sz w:val="22"/>
          <w:szCs w:val="22"/>
        </w:rPr>
      </w:pPr>
      <w:r w:rsidRPr="00F939E4">
        <w:rPr>
          <w:rFonts w:ascii="Arial" w:eastAsia="Times New Roman" w:hAnsi="Arial" w:cs="Arial"/>
          <w:sz w:val="22"/>
          <w:szCs w:val="22"/>
        </w:rPr>
        <w:t>- la mise à disposition d’un parapheur électronique (I-parapheur).</w:t>
      </w:r>
    </w:p>
    <w:p w:rsidR="00F939E4" w:rsidRPr="00F939E4" w:rsidRDefault="00F939E4" w:rsidP="00F939E4">
      <w:pPr>
        <w:spacing w:line="259" w:lineRule="auto"/>
        <w:ind w:left="720"/>
        <w:contextualSpacing/>
        <w:jc w:val="both"/>
        <w:rPr>
          <w:rFonts w:ascii="Arial" w:eastAsia="Times New Roman" w:hAnsi="Arial" w:cs="Arial"/>
          <w:sz w:val="22"/>
          <w:szCs w:val="22"/>
        </w:rPr>
      </w:pPr>
    </w:p>
    <w:p w:rsidR="00280AFC" w:rsidRDefault="00280AFC" w:rsidP="00280AFC">
      <w:pPr>
        <w:spacing w:after="0" w:line="240" w:lineRule="auto"/>
        <w:ind w:right="1"/>
        <w:jc w:val="both"/>
        <w:rPr>
          <w:rFonts w:ascii="Arial" w:eastAsia="Times New Roman" w:hAnsi="Arial" w:cs="Arial"/>
          <w:bCs/>
          <w:color w:val="000000"/>
          <w:sz w:val="22"/>
          <w:szCs w:val="22"/>
          <w:lang w:eastAsia="fr-FR"/>
        </w:rPr>
      </w:pPr>
    </w:p>
    <w:p w:rsidR="00280AFC" w:rsidRDefault="00280AFC" w:rsidP="00280AFC">
      <w:pPr>
        <w:spacing w:after="0" w:line="240" w:lineRule="auto"/>
        <w:ind w:right="1"/>
        <w:jc w:val="both"/>
        <w:rPr>
          <w:rFonts w:ascii="Arial" w:eastAsia="Times New Roman" w:hAnsi="Arial" w:cs="Arial"/>
          <w:bCs/>
          <w:color w:val="000000"/>
          <w:sz w:val="22"/>
          <w:szCs w:val="22"/>
          <w:lang w:eastAsia="fr-FR"/>
        </w:rPr>
      </w:pPr>
    </w:p>
    <w:p w:rsidR="00280AFC" w:rsidRPr="00FE1B8E" w:rsidRDefault="00280AFC" w:rsidP="00280AFC">
      <w:pPr>
        <w:contextualSpacing/>
        <w:jc w:val="both"/>
        <w:rPr>
          <w:rFonts w:ascii="Arial" w:eastAsia="Calibri" w:hAnsi="Arial" w:cs="Arial"/>
          <w:i/>
          <w:sz w:val="22"/>
          <w:szCs w:val="22"/>
        </w:rPr>
      </w:pPr>
      <w:r w:rsidRPr="00FE1B8E">
        <w:rPr>
          <w:rFonts w:ascii="Arial" w:eastAsia="Calibri" w:hAnsi="Arial" w:cs="Arial"/>
          <w:i/>
          <w:sz w:val="22"/>
          <w:szCs w:val="22"/>
          <w:u w:val="single"/>
        </w:rPr>
        <w:t>Résultats du vote</w:t>
      </w:r>
      <w:r w:rsidRPr="00FE1B8E">
        <w:rPr>
          <w:rFonts w:ascii="Arial" w:eastAsia="Calibri" w:hAnsi="Arial" w:cs="Arial"/>
          <w:i/>
          <w:sz w:val="22"/>
          <w:szCs w:val="22"/>
        </w:rPr>
        <w:t> :</w:t>
      </w:r>
    </w:p>
    <w:p w:rsidR="00280AFC" w:rsidRPr="00FE1B8E" w:rsidRDefault="00280AFC" w:rsidP="00280AFC">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Abstentions : 0</w:t>
      </w:r>
    </w:p>
    <w:p w:rsidR="00280AFC" w:rsidRPr="00FE1B8E" w:rsidRDefault="00280AFC" w:rsidP="00280AFC">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Contre : 0</w:t>
      </w:r>
    </w:p>
    <w:p w:rsidR="00280AFC" w:rsidRPr="00FE1B8E" w:rsidRDefault="00280AFC" w:rsidP="00280AFC">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Pour : 27</w:t>
      </w:r>
    </w:p>
    <w:p w:rsidR="00280AFC" w:rsidRDefault="00280AFC" w:rsidP="00280AFC">
      <w:pPr>
        <w:tabs>
          <w:tab w:val="left" w:pos="284"/>
        </w:tabs>
        <w:contextualSpacing/>
        <w:jc w:val="both"/>
        <w:rPr>
          <w:rFonts w:ascii="Arial" w:eastAsia="Calibri" w:hAnsi="Arial" w:cs="Arial"/>
          <w:i/>
        </w:rPr>
      </w:pPr>
    </w:p>
    <w:p w:rsidR="00280AFC" w:rsidRPr="00280AFC" w:rsidRDefault="00280AFC" w:rsidP="00280AFC">
      <w:pPr>
        <w:spacing w:line="259" w:lineRule="auto"/>
        <w:jc w:val="both"/>
        <w:rPr>
          <w:rFonts w:ascii="Arial" w:eastAsia="Times New Roman" w:hAnsi="Arial" w:cs="Arial"/>
          <w:b/>
          <w:i/>
          <w:sz w:val="22"/>
          <w:szCs w:val="22"/>
        </w:rPr>
      </w:pPr>
      <w:r w:rsidRPr="00280AFC">
        <w:rPr>
          <w:rFonts w:ascii="Arial" w:eastAsia="Calibri" w:hAnsi="Arial" w:cs="Arial"/>
          <w:b/>
          <w:i/>
        </w:rPr>
        <w:t>Le</w:t>
      </w:r>
      <w:r>
        <w:rPr>
          <w:rFonts w:ascii="Arial" w:eastAsia="Calibri" w:hAnsi="Arial" w:cs="Arial"/>
          <w:b/>
          <w:i/>
        </w:rPr>
        <w:t xml:space="preserve"> conseil</w:t>
      </w:r>
      <w:r w:rsidRPr="00280AFC">
        <w:rPr>
          <w:rFonts w:ascii="Arial" w:eastAsia="Times New Roman" w:hAnsi="Arial" w:cs="Arial"/>
          <w:b/>
          <w:i/>
          <w:sz w:val="22"/>
          <w:szCs w:val="22"/>
        </w:rPr>
        <w:t xml:space="preserve"> municipal</w:t>
      </w:r>
      <w:r>
        <w:rPr>
          <w:rFonts w:ascii="Arial" w:eastAsia="Times New Roman" w:hAnsi="Arial" w:cs="Arial"/>
          <w:b/>
          <w:i/>
          <w:sz w:val="22"/>
          <w:szCs w:val="22"/>
        </w:rPr>
        <w:t>, après en avoir délibéré, à l’unanimité</w:t>
      </w:r>
      <w:r w:rsidRPr="00280AFC">
        <w:rPr>
          <w:rFonts w:ascii="Arial" w:eastAsia="Times New Roman" w:hAnsi="Arial" w:cs="Arial"/>
          <w:b/>
          <w:i/>
          <w:sz w:val="22"/>
          <w:szCs w:val="22"/>
        </w:rPr>
        <w:t> :</w:t>
      </w:r>
    </w:p>
    <w:p w:rsidR="00280AFC" w:rsidRPr="00280AFC" w:rsidRDefault="00280AFC" w:rsidP="00346E72">
      <w:pPr>
        <w:numPr>
          <w:ilvl w:val="0"/>
          <w:numId w:val="6"/>
        </w:numPr>
        <w:spacing w:after="0" w:line="259" w:lineRule="auto"/>
        <w:ind w:right="1"/>
        <w:jc w:val="both"/>
        <w:rPr>
          <w:rFonts w:ascii="Arial" w:eastAsia="Calibri" w:hAnsi="Arial" w:cs="Arial"/>
          <w:b/>
          <w:i/>
          <w:sz w:val="22"/>
          <w:szCs w:val="22"/>
        </w:rPr>
      </w:pPr>
      <w:r>
        <w:rPr>
          <w:rFonts w:ascii="Arial" w:eastAsia="Times New Roman" w:hAnsi="Arial" w:cs="Arial"/>
          <w:b/>
          <w:i/>
          <w:sz w:val="22"/>
          <w:szCs w:val="22"/>
        </w:rPr>
        <w:t>autorise</w:t>
      </w:r>
      <w:r w:rsidRPr="00280AFC">
        <w:rPr>
          <w:rFonts w:ascii="Arial" w:eastAsia="Times New Roman" w:hAnsi="Arial" w:cs="Arial"/>
          <w:b/>
          <w:i/>
          <w:sz w:val="22"/>
          <w:szCs w:val="22"/>
        </w:rPr>
        <w:t xml:space="preserve"> la collectivité à recourir à la transmission par voie électronique des documents budgétaires et des actes soumis au contrôle de légalité (budget primitif, décisions modificatives, budget supplémentaire, compte administratif et marchés publics</w:t>
      </w:r>
      <w:r>
        <w:rPr>
          <w:rFonts w:ascii="Arial" w:eastAsia="Times New Roman" w:hAnsi="Arial" w:cs="Arial"/>
          <w:b/>
          <w:i/>
          <w:sz w:val="22"/>
          <w:szCs w:val="22"/>
        </w:rPr>
        <w:t>) ;</w:t>
      </w:r>
    </w:p>
    <w:p w:rsidR="00280AFC" w:rsidRPr="00280AFC" w:rsidRDefault="00280AFC" w:rsidP="00280AFC">
      <w:pPr>
        <w:spacing w:after="0" w:line="259" w:lineRule="auto"/>
        <w:ind w:left="720" w:right="1"/>
        <w:jc w:val="both"/>
        <w:rPr>
          <w:rFonts w:ascii="Arial" w:eastAsia="Calibri" w:hAnsi="Arial" w:cs="Arial"/>
          <w:b/>
          <w:i/>
          <w:sz w:val="22"/>
          <w:szCs w:val="22"/>
        </w:rPr>
      </w:pPr>
    </w:p>
    <w:p w:rsidR="00280AFC" w:rsidRPr="00280AFC" w:rsidRDefault="00280AFC" w:rsidP="00346E72">
      <w:pPr>
        <w:numPr>
          <w:ilvl w:val="0"/>
          <w:numId w:val="6"/>
        </w:numPr>
        <w:spacing w:after="0" w:line="259" w:lineRule="auto"/>
        <w:ind w:right="1"/>
        <w:jc w:val="both"/>
        <w:rPr>
          <w:rFonts w:ascii="Arial" w:eastAsia="Calibri" w:hAnsi="Arial" w:cs="Arial"/>
          <w:b/>
          <w:i/>
          <w:sz w:val="22"/>
          <w:szCs w:val="22"/>
        </w:rPr>
      </w:pPr>
      <w:r w:rsidRPr="00280AFC">
        <w:rPr>
          <w:rFonts w:ascii="Arial" w:eastAsia="Times New Roman" w:hAnsi="Arial" w:cs="Arial"/>
          <w:b/>
          <w:i/>
          <w:sz w:val="22"/>
          <w:szCs w:val="22"/>
        </w:rPr>
        <w:t>autorise le Maire à signer la convention ci-jointe avec le représentant de l’État dans le département.</w:t>
      </w:r>
    </w:p>
    <w:p w:rsidR="00E83FF4" w:rsidRDefault="00E83FF4" w:rsidP="003E2566">
      <w:pPr>
        <w:spacing w:after="0" w:line="259" w:lineRule="auto"/>
        <w:jc w:val="both"/>
        <w:rPr>
          <w:rFonts w:ascii="Arial" w:eastAsia="Calibri" w:hAnsi="Arial" w:cs="Arial"/>
        </w:rPr>
      </w:pPr>
    </w:p>
    <w:p w:rsidR="00280AFC" w:rsidRDefault="00280AFC" w:rsidP="003E2566">
      <w:pPr>
        <w:spacing w:after="0" w:line="259" w:lineRule="auto"/>
        <w:jc w:val="both"/>
        <w:rPr>
          <w:rFonts w:ascii="Arial" w:eastAsia="Calibri" w:hAnsi="Arial" w:cs="Arial"/>
        </w:rPr>
      </w:pPr>
    </w:p>
    <w:p w:rsidR="00280AFC" w:rsidRPr="00280AFC" w:rsidRDefault="00280AFC" w:rsidP="00346E72">
      <w:pPr>
        <w:numPr>
          <w:ilvl w:val="0"/>
          <w:numId w:val="2"/>
        </w:numPr>
        <w:tabs>
          <w:tab w:val="left" w:pos="1134"/>
        </w:tabs>
        <w:spacing w:after="0" w:line="240" w:lineRule="auto"/>
        <w:ind w:right="1"/>
        <w:jc w:val="both"/>
        <w:rPr>
          <w:rFonts w:ascii="Arial" w:eastAsia="Times New Roman" w:hAnsi="Arial" w:cs="Arial"/>
          <w:b/>
          <w:bCs/>
          <w:i/>
          <w:sz w:val="22"/>
          <w:szCs w:val="22"/>
          <w:u w:val="single"/>
          <w:lang w:eastAsia="fr-FR"/>
        </w:rPr>
      </w:pPr>
      <w:r w:rsidRPr="00280AFC">
        <w:rPr>
          <w:rFonts w:ascii="Arial" w:eastAsia="Times New Roman" w:hAnsi="Arial" w:cs="Arial"/>
          <w:b/>
          <w:bCs/>
          <w:sz w:val="22"/>
          <w:szCs w:val="22"/>
          <w:u w:val="single"/>
          <w:lang w:eastAsia="fr-FR"/>
        </w:rPr>
        <w:t>Autorisation donnée au Maire pour la signature, avec l’EPORA, de la convention opérationnelle relative à l’aménagement du quartier de la rue de la Gare</w:t>
      </w:r>
    </w:p>
    <w:p w:rsidR="00280AFC" w:rsidRPr="00280AFC" w:rsidRDefault="00280AFC" w:rsidP="00280AFC">
      <w:pPr>
        <w:spacing w:after="0" w:line="240" w:lineRule="auto"/>
        <w:ind w:right="1"/>
        <w:jc w:val="both"/>
        <w:rPr>
          <w:rFonts w:ascii="Arial" w:eastAsia="Times New Roman" w:hAnsi="Arial" w:cs="Arial"/>
          <w:b/>
          <w:bCs/>
          <w:sz w:val="22"/>
          <w:szCs w:val="22"/>
          <w:u w:val="single"/>
          <w:lang w:eastAsia="fr-FR"/>
        </w:rPr>
      </w:pPr>
    </w:p>
    <w:p w:rsidR="00280AFC" w:rsidRDefault="00280AFC" w:rsidP="00280AFC">
      <w:pPr>
        <w:spacing w:after="0" w:line="240" w:lineRule="auto"/>
        <w:ind w:right="1"/>
        <w:jc w:val="both"/>
        <w:rPr>
          <w:rFonts w:ascii="Arial" w:eastAsia="Times New Roman" w:hAnsi="Arial" w:cs="Arial"/>
          <w:bCs/>
          <w:sz w:val="22"/>
          <w:szCs w:val="22"/>
          <w:lang w:eastAsia="fr-FR"/>
        </w:rPr>
      </w:pPr>
      <w:r>
        <w:rPr>
          <w:rFonts w:ascii="Arial" w:eastAsia="Times New Roman" w:hAnsi="Arial" w:cs="Arial"/>
          <w:bCs/>
          <w:sz w:val="22"/>
          <w:szCs w:val="22"/>
          <w:lang w:eastAsia="fr-FR"/>
        </w:rPr>
        <w:t>Geneviève GONIN présente le sujet.</w:t>
      </w:r>
    </w:p>
    <w:p w:rsid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Pr>
          <w:rFonts w:ascii="Arial" w:eastAsia="Times New Roman" w:hAnsi="Arial" w:cs="Arial"/>
          <w:bCs/>
          <w:sz w:val="22"/>
          <w:szCs w:val="22"/>
          <w:lang w:eastAsia="fr-FR"/>
        </w:rPr>
        <w:t>« </w:t>
      </w:r>
      <w:r w:rsidRPr="00280AFC">
        <w:rPr>
          <w:rFonts w:ascii="Arial" w:eastAsia="Times New Roman" w:hAnsi="Arial" w:cs="Arial"/>
          <w:bCs/>
          <w:sz w:val="22"/>
          <w:szCs w:val="22"/>
          <w:lang w:eastAsia="fr-FR"/>
        </w:rPr>
        <w:t>L’EPORA, établissement public foncier (EPF) d’Etat, a pour mission d’aider les collectivités locales à mettre en place des stratégies foncières afin de favoriser le développement durable et la lutte contre l’étalement urbain.</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 xml:space="preserve">L’EPORA propose ainsi un portage foncier en vue de faciliter des opérations de renouvellement urbain qui ne sont pas possibles sans intervention publique. En effet, dans les secteurs où la pression foncière n’est pas forte, les opérateurs privilégient les terrains nus, voire les friches industrielles d’un seul tenant. </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 xml:space="preserve">Le Péage de Roussillon souffre de la dégradation de nombreux bâtiments, laissés à l’abandon. Le centre-ville se compose de nombreuses petites parcelles rendant les opérations de renouvellement urbain d’autant plus complexes.   </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 xml:space="preserve">Dans ce contexte, la commune a choisi de signer une convention de veille et étude foncière avec l’EPORA en avril 2015. Dans un premier temps, un diagnostic de territoire a été mené afin de cerner les secteurs d’intervention possibles. Comme cela a été exposé lors de commissions urbanisme, la municipalité a choisi de se concentrer sur la rue de la gare, axe stratégique et entrée de ville, aujourd’hui composée entre autres de bâtiments très dégradés. </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Entre 2016 et 2018, conformément aux décisions prises par le conseil municipal, l’EPORA a procédé à l’achat de cinq biens immobiliers pour le compte de la commune. Le potentiel foncier ainsi dégagé peut permettre dorénavant d’envisager le passage à une convention opérationnelle, placée en annexe n°2.</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 xml:space="preserve">Cette dernière vise à démolir les bâtiments existants afin de dégager un terrain à bâtir. Parallèlement, un appel à projet pourra être lancé afin de mettre en concurrence plusieurs opérateurs pour la construction de nouveaux bâtiments. Le projet devra être conforme au PLU. Plusieurs opérateurs pourront être invités à présenter leur projet. Il leur reviendra de faire une offre pour l’achat du terrain. Cette offre devra être circonstanciée par un bilan prévisionnel de l’opération, établi par l’opérateur. </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Un pré-bilan de l’opération a été établi par l’EPORA, d’après une étude de marché réalisé en 2017. Cette étude a permis de retenir un prix de cession à 115€/m², pour une opération d’environ 1 485 m² (26 logements, R+3). Le déficit prévisionnel de l’opération est estimé à 955 485€. Dans le projet de convention, l’EPORA s’engage à la prise en charge de 40% de ce déficit prévisionnel, avec un plafonnement à 385 000 €. Le reste sera à la charge de la commune.</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 xml:space="preserve">Il n’est pas exclu que le prix de vente du terrain soit supérieur à l’estimation de l’étude de marché. </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Cs/>
          <w:sz w:val="22"/>
          <w:szCs w:val="22"/>
          <w:lang w:eastAsia="fr-FR"/>
        </w:rPr>
        <w:t>La durée de la convention opérationnelle est de trois ans et peut être prolongée</w:t>
      </w:r>
      <w:r>
        <w:rPr>
          <w:rFonts w:ascii="Arial" w:eastAsia="Times New Roman" w:hAnsi="Arial" w:cs="Arial"/>
          <w:bCs/>
          <w:sz w:val="22"/>
          <w:szCs w:val="22"/>
          <w:lang w:eastAsia="fr-FR"/>
        </w:rPr>
        <w:t> »</w:t>
      </w:r>
      <w:r w:rsidRPr="00280AFC">
        <w:rPr>
          <w:rFonts w:ascii="Arial" w:eastAsia="Times New Roman" w:hAnsi="Arial" w:cs="Arial"/>
          <w:bCs/>
          <w:sz w:val="22"/>
          <w:szCs w:val="22"/>
          <w:lang w:eastAsia="fr-FR"/>
        </w:rPr>
        <w:t>.</w:t>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Pr="00280AFC" w:rsidRDefault="00280AFC" w:rsidP="00280AFC">
      <w:pPr>
        <w:spacing w:after="0" w:line="240" w:lineRule="auto"/>
        <w:ind w:right="1"/>
        <w:jc w:val="both"/>
        <w:rPr>
          <w:rFonts w:ascii="Arial" w:eastAsia="Times New Roman" w:hAnsi="Arial" w:cs="Arial"/>
          <w:bCs/>
          <w:sz w:val="22"/>
          <w:szCs w:val="22"/>
          <w:lang w:eastAsia="fr-FR"/>
        </w:rPr>
      </w:pPr>
      <w:r w:rsidRPr="00280AFC">
        <w:rPr>
          <w:rFonts w:ascii="Arial" w:eastAsia="Times New Roman" w:hAnsi="Arial" w:cs="Arial"/>
          <w:b/>
          <w:bCs/>
          <w:noProof/>
          <w:sz w:val="22"/>
          <w:szCs w:val="22"/>
          <w:lang w:eastAsia="fr-FR"/>
        </w:rPr>
        <w:drawing>
          <wp:inline distT="0" distB="0" distL="0" distR="0">
            <wp:extent cx="5538470" cy="4149090"/>
            <wp:effectExtent l="0" t="0" r="508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8470" cy="4149090"/>
                    </a:xfrm>
                    <a:prstGeom prst="rect">
                      <a:avLst/>
                    </a:prstGeom>
                    <a:noFill/>
                    <a:ln>
                      <a:noFill/>
                    </a:ln>
                  </pic:spPr>
                </pic:pic>
              </a:graphicData>
            </a:graphic>
          </wp:inline>
        </w:drawing>
      </w:r>
    </w:p>
    <w:p w:rsidR="00280AFC" w:rsidRPr="00280AFC" w:rsidRDefault="00280AFC" w:rsidP="00280AFC">
      <w:pPr>
        <w:spacing w:after="0" w:line="240" w:lineRule="auto"/>
        <w:ind w:right="1"/>
        <w:jc w:val="both"/>
        <w:rPr>
          <w:rFonts w:ascii="Arial" w:eastAsia="Times New Roman" w:hAnsi="Arial" w:cs="Arial"/>
          <w:bCs/>
          <w:sz w:val="22"/>
          <w:szCs w:val="22"/>
          <w:lang w:eastAsia="fr-FR"/>
        </w:rPr>
      </w:pPr>
    </w:p>
    <w:p w:rsidR="00280AFC" w:rsidRDefault="00280AFC" w:rsidP="00280AFC">
      <w:pPr>
        <w:spacing w:after="0" w:line="240" w:lineRule="auto"/>
        <w:ind w:right="1"/>
        <w:jc w:val="both"/>
        <w:rPr>
          <w:rFonts w:ascii="Arial" w:eastAsia="Times New Roman" w:hAnsi="Arial" w:cs="Arial"/>
          <w:bCs/>
          <w:sz w:val="22"/>
          <w:szCs w:val="22"/>
          <w:lang w:eastAsia="fr-FR"/>
        </w:rPr>
      </w:pPr>
    </w:p>
    <w:p w:rsidR="00660323" w:rsidRDefault="00660323" w:rsidP="00596B5F">
      <w:pPr>
        <w:contextualSpacing/>
        <w:jc w:val="both"/>
        <w:rPr>
          <w:rFonts w:ascii="Arial" w:eastAsia="Calibri" w:hAnsi="Arial" w:cs="Arial"/>
          <w:i/>
          <w:sz w:val="22"/>
          <w:szCs w:val="22"/>
          <w:u w:val="single"/>
        </w:rPr>
      </w:pPr>
    </w:p>
    <w:p w:rsidR="00660323" w:rsidRDefault="00660323" w:rsidP="00596B5F">
      <w:pPr>
        <w:contextualSpacing/>
        <w:jc w:val="both"/>
        <w:rPr>
          <w:rFonts w:ascii="Arial" w:eastAsia="Calibri" w:hAnsi="Arial" w:cs="Arial"/>
          <w:i/>
          <w:sz w:val="22"/>
          <w:szCs w:val="22"/>
          <w:u w:val="single"/>
        </w:rPr>
      </w:pPr>
    </w:p>
    <w:p w:rsidR="00660323" w:rsidRDefault="00660323" w:rsidP="00596B5F">
      <w:pPr>
        <w:contextualSpacing/>
        <w:jc w:val="both"/>
        <w:rPr>
          <w:rFonts w:ascii="Arial" w:eastAsia="Calibri" w:hAnsi="Arial" w:cs="Arial"/>
          <w:i/>
          <w:sz w:val="22"/>
          <w:szCs w:val="22"/>
          <w:u w:val="single"/>
        </w:rPr>
      </w:pPr>
    </w:p>
    <w:p w:rsidR="00660323" w:rsidRDefault="00660323" w:rsidP="00596B5F">
      <w:pPr>
        <w:contextualSpacing/>
        <w:jc w:val="both"/>
        <w:rPr>
          <w:rFonts w:ascii="Arial" w:eastAsia="Calibri" w:hAnsi="Arial" w:cs="Arial"/>
          <w:i/>
          <w:sz w:val="22"/>
          <w:szCs w:val="22"/>
          <w:u w:val="single"/>
        </w:rPr>
      </w:pPr>
    </w:p>
    <w:p w:rsidR="00596B5F" w:rsidRPr="00FE1B8E" w:rsidRDefault="00596B5F" w:rsidP="00596B5F">
      <w:pPr>
        <w:contextualSpacing/>
        <w:jc w:val="both"/>
        <w:rPr>
          <w:rFonts w:ascii="Arial" w:eastAsia="Calibri" w:hAnsi="Arial" w:cs="Arial"/>
          <w:i/>
          <w:sz w:val="22"/>
          <w:szCs w:val="22"/>
        </w:rPr>
      </w:pPr>
      <w:r w:rsidRPr="00FE1B8E">
        <w:rPr>
          <w:rFonts w:ascii="Arial" w:eastAsia="Calibri" w:hAnsi="Arial" w:cs="Arial"/>
          <w:i/>
          <w:sz w:val="22"/>
          <w:szCs w:val="22"/>
          <w:u w:val="single"/>
        </w:rPr>
        <w:t>Résultats du vote</w:t>
      </w:r>
      <w:r w:rsidRPr="00FE1B8E">
        <w:rPr>
          <w:rFonts w:ascii="Arial" w:eastAsia="Calibri" w:hAnsi="Arial" w:cs="Arial"/>
          <w:i/>
          <w:sz w:val="22"/>
          <w:szCs w:val="22"/>
        </w:rPr>
        <w:t> :</w:t>
      </w:r>
    </w:p>
    <w:p w:rsidR="00596B5F" w:rsidRPr="00FE1B8E" w:rsidRDefault="00596B5F" w:rsidP="00596B5F">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Abstentions :</w:t>
      </w:r>
      <w:r>
        <w:rPr>
          <w:rFonts w:ascii="Arial" w:eastAsia="Calibri" w:hAnsi="Arial" w:cs="Arial"/>
          <w:i/>
          <w:sz w:val="22"/>
          <w:szCs w:val="22"/>
        </w:rPr>
        <w:t xml:space="preserve"> 3</w:t>
      </w:r>
    </w:p>
    <w:p w:rsidR="00596B5F" w:rsidRPr="00FE1B8E" w:rsidRDefault="00596B5F" w:rsidP="00596B5F">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Contre :</w:t>
      </w:r>
      <w:r>
        <w:rPr>
          <w:rFonts w:ascii="Arial" w:eastAsia="Calibri" w:hAnsi="Arial" w:cs="Arial"/>
          <w:i/>
          <w:sz w:val="22"/>
          <w:szCs w:val="22"/>
        </w:rPr>
        <w:t xml:space="preserve"> 5</w:t>
      </w:r>
    </w:p>
    <w:p w:rsidR="00596B5F" w:rsidRPr="00FE1B8E" w:rsidRDefault="00596B5F" w:rsidP="00596B5F">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 xml:space="preserve">Pour : </w:t>
      </w:r>
      <w:r w:rsidR="001F0282">
        <w:rPr>
          <w:rFonts w:ascii="Arial" w:eastAsia="Calibri" w:hAnsi="Arial" w:cs="Arial"/>
          <w:i/>
          <w:sz w:val="22"/>
          <w:szCs w:val="22"/>
        </w:rPr>
        <w:t>19</w:t>
      </w:r>
    </w:p>
    <w:p w:rsidR="008D6667" w:rsidRDefault="008D6667" w:rsidP="00280AFC">
      <w:pPr>
        <w:spacing w:after="0" w:line="240" w:lineRule="auto"/>
        <w:ind w:right="1"/>
        <w:jc w:val="both"/>
        <w:rPr>
          <w:rFonts w:ascii="Arial" w:eastAsia="Times New Roman" w:hAnsi="Arial" w:cs="Arial"/>
          <w:bCs/>
          <w:sz w:val="22"/>
          <w:szCs w:val="22"/>
          <w:lang w:eastAsia="fr-FR"/>
        </w:rPr>
      </w:pPr>
    </w:p>
    <w:p w:rsidR="00280AFC" w:rsidRPr="00280AFC" w:rsidRDefault="00596B5F" w:rsidP="00280AFC">
      <w:pPr>
        <w:spacing w:after="0" w:line="240" w:lineRule="auto"/>
        <w:ind w:right="1"/>
        <w:jc w:val="both"/>
        <w:rPr>
          <w:rFonts w:ascii="Arial" w:eastAsia="Times New Roman" w:hAnsi="Arial" w:cs="Arial"/>
          <w:b/>
          <w:bCs/>
          <w:i/>
          <w:sz w:val="22"/>
          <w:szCs w:val="22"/>
          <w:lang w:eastAsia="fr-FR"/>
        </w:rPr>
      </w:pPr>
      <w:r>
        <w:rPr>
          <w:rFonts w:ascii="Arial" w:eastAsia="Times New Roman" w:hAnsi="Arial" w:cs="Arial"/>
          <w:b/>
          <w:bCs/>
          <w:i/>
          <w:sz w:val="22"/>
          <w:szCs w:val="22"/>
          <w:lang w:eastAsia="fr-FR"/>
        </w:rPr>
        <w:t xml:space="preserve">Le </w:t>
      </w:r>
      <w:r w:rsidR="00280AFC" w:rsidRPr="00280AFC">
        <w:rPr>
          <w:rFonts w:ascii="Arial" w:eastAsia="Times New Roman" w:hAnsi="Arial" w:cs="Arial"/>
          <w:b/>
          <w:bCs/>
          <w:i/>
          <w:sz w:val="22"/>
          <w:szCs w:val="22"/>
          <w:lang w:eastAsia="fr-FR"/>
        </w:rPr>
        <w:t xml:space="preserve">conseil municipal, </w:t>
      </w:r>
      <w:r>
        <w:rPr>
          <w:rFonts w:ascii="Arial" w:eastAsia="Times New Roman" w:hAnsi="Arial" w:cs="Arial"/>
          <w:b/>
          <w:bCs/>
          <w:i/>
          <w:sz w:val="22"/>
          <w:szCs w:val="22"/>
          <w:lang w:eastAsia="fr-FR"/>
        </w:rPr>
        <w:t xml:space="preserve">après en avoir délibéré, à la majorité, </w:t>
      </w:r>
      <w:r w:rsidR="00280AFC" w:rsidRPr="00280AFC">
        <w:rPr>
          <w:rFonts w:ascii="Arial" w:eastAsia="Times New Roman" w:hAnsi="Arial" w:cs="Arial"/>
          <w:b/>
          <w:bCs/>
          <w:i/>
          <w:sz w:val="22"/>
          <w:szCs w:val="22"/>
          <w:lang w:eastAsia="fr-FR"/>
        </w:rPr>
        <w:t>autorise le Maire à signer avec l’EPORA, la convention opérationnelle relative à l’aménagement du quartier de la rue de la Gare.</w:t>
      </w:r>
    </w:p>
    <w:p w:rsidR="00280AFC" w:rsidRDefault="00280AFC" w:rsidP="00280AFC">
      <w:pPr>
        <w:spacing w:after="0" w:line="240" w:lineRule="auto"/>
        <w:ind w:left="1440" w:right="1"/>
        <w:jc w:val="both"/>
        <w:rPr>
          <w:rFonts w:ascii="Arial" w:eastAsia="Times New Roman" w:hAnsi="Arial" w:cs="Arial"/>
          <w:b/>
          <w:bCs/>
          <w:i/>
          <w:sz w:val="22"/>
          <w:szCs w:val="22"/>
          <w:lang w:eastAsia="fr-FR"/>
        </w:rPr>
      </w:pPr>
    </w:p>
    <w:p w:rsidR="00596B5F" w:rsidRDefault="00596B5F" w:rsidP="00280AFC">
      <w:pPr>
        <w:spacing w:after="0" w:line="240" w:lineRule="auto"/>
        <w:ind w:left="1440" w:right="1"/>
        <w:jc w:val="both"/>
        <w:rPr>
          <w:rFonts w:ascii="Arial" w:eastAsia="Times New Roman" w:hAnsi="Arial" w:cs="Arial"/>
          <w:b/>
          <w:bCs/>
          <w:i/>
          <w:sz w:val="22"/>
          <w:szCs w:val="22"/>
          <w:lang w:eastAsia="fr-FR"/>
        </w:rPr>
      </w:pPr>
    </w:p>
    <w:p w:rsidR="005C1F7F" w:rsidRPr="005C1F7F" w:rsidRDefault="005C1F7F" w:rsidP="00346E72">
      <w:pPr>
        <w:numPr>
          <w:ilvl w:val="0"/>
          <w:numId w:val="2"/>
        </w:numPr>
        <w:spacing w:after="0" w:line="240" w:lineRule="auto"/>
        <w:ind w:right="1"/>
        <w:jc w:val="both"/>
        <w:rPr>
          <w:rFonts w:ascii="Arial" w:eastAsia="Times New Roman" w:hAnsi="Arial" w:cs="Arial"/>
          <w:bCs/>
          <w:sz w:val="22"/>
          <w:szCs w:val="22"/>
          <w:u w:val="single"/>
          <w:lang w:eastAsia="fr-FR"/>
        </w:rPr>
      </w:pPr>
      <w:r w:rsidRPr="005C1F7F">
        <w:rPr>
          <w:rFonts w:ascii="Arial" w:eastAsia="Times New Roman" w:hAnsi="Arial" w:cs="Arial"/>
          <w:b/>
          <w:bCs/>
          <w:sz w:val="22"/>
          <w:szCs w:val="22"/>
          <w:u w:val="single"/>
          <w:lang w:eastAsia="fr-FR"/>
        </w:rPr>
        <w:t>Autorisation donnée au Maire pour procéder à l’achat d’un bien situé au 3 rue Mourguet</w:t>
      </w:r>
    </w:p>
    <w:p w:rsidR="005C1F7F" w:rsidRPr="005C1F7F" w:rsidRDefault="005C1F7F" w:rsidP="005C1F7F">
      <w:pPr>
        <w:spacing w:after="0" w:line="240" w:lineRule="auto"/>
        <w:ind w:right="1"/>
        <w:jc w:val="both"/>
        <w:rPr>
          <w:rFonts w:ascii="Arial" w:eastAsia="Times New Roman" w:hAnsi="Arial" w:cs="Arial"/>
          <w:b/>
          <w:bCs/>
          <w:i/>
          <w:sz w:val="22"/>
          <w:szCs w:val="22"/>
          <w:lang w:eastAsia="fr-FR"/>
        </w:rPr>
      </w:pPr>
    </w:p>
    <w:p w:rsidR="005C1F7F" w:rsidRDefault="005C1F7F" w:rsidP="005C1F7F">
      <w:pPr>
        <w:spacing w:after="0" w:line="240" w:lineRule="auto"/>
        <w:jc w:val="both"/>
        <w:rPr>
          <w:rFonts w:ascii="Arial" w:eastAsia="Calibri" w:hAnsi="Arial" w:cs="Arial"/>
          <w:sz w:val="22"/>
          <w:szCs w:val="22"/>
        </w:rPr>
      </w:pPr>
      <w:r>
        <w:rPr>
          <w:rFonts w:ascii="Arial" w:eastAsia="Calibri" w:hAnsi="Arial" w:cs="Arial"/>
          <w:sz w:val="22"/>
          <w:szCs w:val="22"/>
        </w:rPr>
        <w:t>Geneviève GONIN présente le sujet.</w:t>
      </w:r>
    </w:p>
    <w:p w:rsidR="005C1F7F" w:rsidRDefault="005C1F7F" w:rsidP="005C1F7F">
      <w:pPr>
        <w:spacing w:after="0" w:line="240" w:lineRule="auto"/>
        <w:jc w:val="both"/>
        <w:rPr>
          <w:rFonts w:ascii="Arial" w:eastAsia="Calibri" w:hAnsi="Arial" w:cs="Arial"/>
          <w:sz w:val="22"/>
          <w:szCs w:val="22"/>
        </w:rPr>
      </w:pPr>
    </w:p>
    <w:p w:rsidR="005C1F7F" w:rsidRPr="005C1F7F" w:rsidRDefault="005C1F7F" w:rsidP="005C1F7F">
      <w:pPr>
        <w:spacing w:after="0" w:line="240" w:lineRule="auto"/>
        <w:jc w:val="both"/>
        <w:rPr>
          <w:rFonts w:ascii="Arial" w:eastAsia="Calibri" w:hAnsi="Arial" w:cs="Arial"/>
          <w:sz w:val="22"/>
          <w:szCs w:val="22"/>
        </w:rPr>
      </w:pPr>
      <w:r>
        <w:rPr>
          <w:rFonts w:ascii="Arial" w:eastAsia="Calibri" w:hAnsi="Arial" w:cs="Arial"/>
          <w:sz w:val="22"/>
          <w:szCs w:val="22"/>
        </w:rPr>
        <w:t>« </w:t>
      </w:r>
      <w:r w:rsidRPr="005C1F7F">
        <w:rPr>
          <w:rFonts w:ascii="Arial" w:eastAsia="Calibri" w:hAnsi="Arial" w:cs="Arial"/>
          <w:sz w:val="22"/>
          <w:szCs w:val="22"/>
        </w:rPr>
        <w:t>La commune du Péage de Roussillon fait face à un contentieux avec des riverains de la salle Baptiste-Dufeu, qui trouve son origine dans les émissions sonores en provenance de cet équipement.</w:t>
      </w:r>
    </w:p>
    <w:p w:rsidR="005C1F7F" w:rsidRPr="005C1F7F" w:rsidRDefault="005C1F7F" w:rsidP="005C1F7F">
      <w:pPr>
        <w:spacing w:after="0" w:line="240" w:lineRule="auto"/>
        <w:jc w:val="both"/>
        <w:rPr>
          <w:rFonts w:ascii="Arial" w:eastAsia="Calibri" w:hAnsi="Arial" w:cs="Arial"/>
          <w:sz w:val="22"/>
          <w:szCs w:val="22"/>
        </w:rPr>
      </w:pPr>
    </w:p>
    <w:p w:rsidR="005C1F7F" w:rsidRPr="005C1F7F" w:rsidRDefault="005C1F7F" w:rsidP="005C1F7F">
      <w:pPr>
        <w:spacing w:after="0" w:line="240" w:lineRule="auto"/>
        <w:jc w:val="both"/>
        <w:rPr>
          <w:rFonts w:ascii="Arial" w:eastAsia="Calibri" w:hAnsi="Arial" w:cs="Arial"/>
          <w:sz w:val="22"/>
          <w:szCs w:val="22"/>
        </w:rPr>
      </w:pPr>
      <w:r w:rsidRPr="005C1F7F">
        <w:rPr>
          <w:rFonts w:ascii="Arial" w:eastAsia="Calibri" w:hAnsi="Arial" w:cs="Arial"/>
          <w:sz w:val="22"/>
          <w:szCs w:val="22"/>
        </w:rPr>
        <w:t>Des études ont été menées afin d’identifier une solution permettant de mettre aux normes ce bâtiment et de faire cesser les émissions sonores dépassant les valeurs autorisées, qui se diffusent dans la maison voisine, située au 3 rue Mourguet.</w:t>
      </w:r>
    </w:p>
    <w:p w:rsidR="005C1F7F" w:rsidRPr="005C1F7F" w:rsidRDefault="005C1F7F" w:rsidP="005C1F7F">
      <w:pPr>
        <w:spacing w:after="0" w:line="240" w:lineRule="auto"/>
        <w:jc w:val="both"/>
        <w:rPr>
          <w:rFonts w:ascii="Arial" w:eastAsia="Calibri" w:hAnsi="Arial" w:cs="Arial"/>
          <w:sz w:val="22"/>
          <w:szCs w:val="22"/>
        </w:rPr>
      </w:pPr>
    </w:p>
    <w:p w:rsidR="005C1F7F" w:rsidRPr="005C1F7F" w:rsidRDefault="005C1F7F" w:rsidP="005C1F7F">
      <w:pPr>
        <w:spacing w:after="0" w:line="240" w:lineRule="auto"/>
        <w:jc w:val="both"/>
        <w:rPr>
          <w:rFonts w:ascii="Arial" w:eastAsia="Calibri" w:hAnsi="Arial" w:cs="Arial"/>
          <w:sz w:val="22"/>
          <w:szCs w:val="22"/>
        </w:rPr>
      </w:pPr>
      <w:r w:rsidRPr="005C1F7F">
        <w:rPr>
          <w:rFonts w:ascii="Arial" w:eastAsia="Calibri" w:hAnsi="Arial" w:cs="Arial"/>
          <w:sz w:val="22"/>
          <w:szCs w:val="22"/>
        </w:rPr>
        <w:t>Toutefois, compte-tenu de la configuration particulière des deux bâtiments, la maison voisine étant adossée à la salle Baptiste-Dufeu, les experts qui ont examiné la situation n’ont pas pu trouver de solution garantissant le respect des normes en vigueur en matière d’émissions sonores, même au prix de travaux de transformation très élevés.</w:t>
      </w:r>
    </w:p>
    <w:p w:rsidR="005C1F7F" w:rsidRPr="005C1F7F" w:rsidRDefault="005C1F7F" w:rsidP="005C1F7F">
      <w:pPr>
        <w:spacing w:after="0" w:line="240" w:lineRule="auto"/>
        <w:jc w:val="both"/>
        <w:rPr>
          <w:rFonts w:ascii="Arial" w:eastAsia="Calibri" w:hAnsi="Arial" w:cs="Arial"/>
          <w:sz w:val="22"/>
          <w:szCs w:val="22"/>
        </w:rPr>
      </w:pPr>
    </w:p>
    <w:p w:rsidR="005C1F7F" w:rsidRPr="005C1F7F" w:rsidRDefault="005C1F7F" w:rsidP="005C1F7F">
      <w:pPr>
        <w:spacing w:after="0" w:line="240" w:lineRule="auto"/>
        <w:jc w:val="both"/>
        <w:rPr>
          <w:rFonts w:ascii="Arial" w:eastAsia="Calibri" w:hAnsi="Arial" w:cs="Arial"/>
          <w:sz w:val="22"/>
          <w:szCs w:val="22"/>
        </w:rPr>
      </w:pPr>
      <w:r w:rsidRPr="005C1F7F">
        <w:rPr>
          <w:rFonts w:ascii="Arial" w:eastAsia="Calibri" w:hAnsi="Arial" w:cs="Arial"/>
          <w:sz w:val="22"/>
          <w:szCs w:val="22"/>
        </w:rPr>
        <w:t>Le tribunal administratif a refusé de condamner la commune à réaliser des travaux de mise aux normes. Par contre, il a considéré qu’elle était responsable des nuisances dues aux émissions sonores et l’a condamnée au paiement d’indemnités, tant que les émissions ne cesseraient pas.</w:t>
      </w:r>
    </w:p>
    <w:p w:rsidR="005C1F7F" w:rsidRPr="005C1F7F" w:rsidRDefault="005C1F7F" w:rsidP="005C1F7F">
      <w:pPr>
        <w:spacing w:after="0" w:line="240" w:lineRule="auto"/>
        <w:jc w:val="both"/>
        <w:rPr>
          <w:rFonts w:ascii="Arial" w:eastAsia="Calibri" w:hAnsi="Arial" w:cs="Arial"/>
          <w:sz w:val="22"/>
          <w:szCs w:val="22"/>
        </w:rPr>
      </w:pPr>
    </w:p>
    <w:p w:rsidR="005C1F7F" w:rsidRDefault="005C1F7F" w:rsidP="005C1F7F">
      <w:pPr>
        <w:spacing w:after="0" w:line="240" w:lineRule="auto"/>
        <w:jc w:val="both"/>
        <w:rPr>
          <w:rFonts w:ascii="Arial" w:eastAsia="Calibri" w:hAnsi="Arial" w:cs="Arial"/>
          <w:sz w:val="22"/>
          <w:szCs w:val="22"/>
        </w:rPr>
      </w:pPr>
      <w:r w:rsidRPr="005C1F7F">
        <w:rPr>
          <w:rFonts w:ascii="Arial" w:eastAsia="Calibri" w:hAnsi="Arial" w:cs="Arial"/>
          <w:sz w:val="22"/>
          <w:szCs w:val="22"/>
        </w:rPr>
        <w:t>C’est pourquoi la municipalité a décidé de négocier avec les propriétaires et leur a proposé que la commune achète leur habitation. Ces derniers ayant donné un accord de principe, le service des Domaines a procédé à une estimation du bien, situé sur la parcelle AZ 293 d’une surface de 496 mètres carrés, et a établi sa valeur à 200 000 euros. Les propriétaires ont ensuite confirmé leur décision de vendre leur maison à la commune au prix de 200 000 euros</w:t>
      </w:r>
      <w:r>
        <w:rPr>
          <w:rFonts w:ascii="Arial" w:eastAsia="Calibri" w:hAnsi="Arial" w:cs="Arial"/>
          <w:sz w:val="22"/>
          <w:szCs w:val="22"/>
        </w:rPr>
        <w:t> »</w:t>
      </w:r>
      <w:r w:rsidRPr="005C1F7F">
        <w:rPr>
          <w:rFonts w:ascii="Arial" w:eastAsia="Calibri" w:hAnsi="Arial" w:cs="Arial"/>
          <w:sz w:val="22"/>
          <w:szCs w:val="22"/>
        </w:rPr>
        <w:t>.</w:t>
      </w:r>
    </w:p>
    <w:p w:rsidR="005C1F7F" w:rsidRDefault="005C1F7F" w:rsidP="005C1F7F">
      <w:pPr>
        <w:spacing w:after="0" w:line="240" w:lineRule="auto"/>
        <w:jc w:val="both"/>
        <w:rPr>
          <w:rFonts w:ascii="Arial" w:eastAsia="Calibri" w:hAnsi="Arial" w:cs="Arial"/>
          <w:sz w:val="22"/>
          <w:szCs w:val="22"/>
        </w:rPr>
      </w:pPr>
    </w:p>
    <w:p w:rsidR="005C1F7F" w:rsidRDefault="005C1F7F" w:rsidP="005C1F7F">
      <w:pPr>
        <w:spacing w:after="0" w:line="240" w:lineRule="auto"/>
        <w:jc w:val="both"/>
        <w:rPr>
          <w:rFonts w:ascii="Arial" w:eastAsia="Calibri" w:hAnsi="Arial" w:cs="Arial"/>
          <w:sz w:val="22"/>
          <w:szCs w:val="22"/>
        </w:rPr>
      </w:pPr>
    </w:p>
    <w:p w:rsidR="005C1F7F" w:rsidRDefault="005C1F7F" w:rsidP="005C1F7F">
      <w:pPr>
        <w:spacing w:after="0" w:line="240" w:lineRule="auto"/>
        <w:jc w:val="both"/>
        <w:rPr>
          <w:rFonts w:ascii="Arial" w:eastAsia="Calibri" w:hAnsi="Arial" w:cs="Arial"/>
          <w:sz w:val="22"/>
          <w:szCs w:val="22"/>
        </w:rPr>
      </w:pPr>
    </w:p>
    <w:p w:rsidR="001F0282" w:rsidRPr="00FE1B8E" w:rsidRDefault="001F0282" w:rsidP="001F0282">
      <w:pPr>
        <w:contextualSpacing/>
        <w:jc w:val="both"/>
        <w:rPr>
          <w:rFonts w:ascii="Arial" w:eastAsia="Calibri" w:hAnsi="Arial" w:cs="Arial"/>
          <w:i/>
          <w:sz w:val="22"/>
          <w:szCs w:val="22"/>
        </w:rPr>
      </w:pPr>
      <w:r w:rsidRPr="00FE1B8E">
        <w:rPr>
          <w:rFonts w:ascii="Arial" w:eastAsia="Calibri" w:hAnsi="Arial" w:cs="Arial"/>
          <w:i/>
          <w:sz w:val="22"/>
          <w:szCs w:val="22"/>
          <w:u w:val="single"/>
        </w:rPr>
        <w:t>Résultats du vote</w:t>
      </w:r>
      <w:r w:rsidRPr="00FE1B8E">
        <w:rPr>
          <w:rFonts w:ascii="Arial" w:eastAsia="Calibri" w:hAnsi="Arial" w:cs="Arial"/>
          <w:i/>
          <w:sz w:val="22"/>
          <w:szCs w:val="22"/>
        </w:rPr>
        <w:t> :</w:t>
      </w:r>
    </w:p>
    <w:p w:rsidR="001F0282" w:rsidRPr="00FE1B8E" w:rsidRDefault="001F0282" w:rsidP="001F0282">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Abstentions :</w:t>
      </w:r>
      <w:r>
        <w:rPr>
          <w:rFonts w:ascii="Arial" w:eastAsia="Calibri" w:hAnsi="Arial" w:cs="Arial"/>
          <w:i/>
          <w:sz w:val="22"/>
          <w:szCs w:val="22"/>
        </w:rPr>
        <w:t xml:space="preserve"> </w:t>
      </w:r>
      <w:r w:rsidR="00890F1A">
        <w:rPr>
          <w:rFonts w:ascii="Arial" w:eastAsia="Calibri" w:hAnsi="Arial" w:cs="Arial"/>
          <w:i/>
          <w:sz w:val="22"/>
          <w:szCs w:val="22"/>
        </w:rPr>
        <w:t>0</w:t>
      </w:r>
    </w:p>
    <w:p w:rsidR="001F0282" w:rsidRPr="00FE1B8E" w:rsidRDefault="001F0282" w:rsidP="001F0282">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Contre :</w:t>
      </w:r>
      <w:r>
        <w:rPr>
          <w:rFonts w:ascii="Arial" w:eastAsia="Calibri" w:hAnsi="Arial" w:cs="Arial"/>
          <w:i/>
          <w:sz w:val="22"/>
          <w:szCs w:val="22"/>
        </w:rPr>
        <w:t xml:space="preserve"> </w:t>
      </w:r>
      <w:r w:rsidR="00890F1A">
        <w:rPr>
          <w:rFonts w:ascii="Arial" w:eastAsia="Calibri" w:hAnsi="Arial" w:cs="Arial"/>
          <w:i/>
          <w:sz w:val="22"/>
          <w:szCs w:val="22"/>
        </w:rPr>
        <w:t>5</w:t>
      </w:r>
    </w:p>
    <w:p w:rsidR="001F0282" w:rsidRPr="00FE1B8E" w:rsidRDefault="001F0282" w:rsidP="001F0282">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 xml:space="preserve">Pour : </w:t>
      </w:r>
      <w:r w:rsidR="00890F1A">
        <w:rPr>
          <w:rFonts w:ascii="Arial" w:eastAsia="Calibri" w:hAnsi="Arial" w:cs="Arial"/>
          <w:i/>
          <w:sz w:val="22"/>
          <w:szCs w:val="22"/>
        </w:rPr>
        <w:t>22</w:t>
      </w:r>
    </w:p>
    <w:p w:rsidR="005C1F7F" w:rsidRPr="005C1F7F" w:rsidRDefault="005C1F7F" w:rsidP="005C1F7F">
      <w:pPr>
        <w:spacing w:after="0" w:line="240" w:lineRule="auto"/>
        <w:jc w:val="both"/>
        <w:rPr>
          <w:rFonts w:ascii="Arial" w:eastAsia="Calibri" w:hAnsi="Arial" w:cs="Arial"/>
          <w:sz w:val="22"/>
          <w:szCs w:val="22"/>
        </w:rPr>
      </w:pPr>
    </w:p>
    <w:p w:rsidR="005C1F7F" w:rsidRPr="005C1F7F" w:rsidRDefault="005C1F7F" w:rsidP="005C1F7F">
      <w:pPr>
        <w:spacing w:after="0" w:line="240" w:lineRule="auto"/>
        <w:jc w:val="both"/>
        <w:rPr>
          <w:rFonts w:ascii="Arial" w:eastAsia="Calibri" w:hAnsi="Arial" w:cs="Arial"/>
          <w:sz w:val="22"/>
          <w:szCs w:val="22"/>
        </w:rPr>
      </w:pPr>
    </w:p>
    <w:p w:rsidR="005C1F7F" w:rsidRPr="005C1F7F" w:rsidRDefault="001F0282" w:rsidP="005C1F7F">
      <w:pPr>
        <w:spacing w:after="0" w:line="240" w:lineRule="auto"/>
        <w:jc w:val="both"/>
        <w:rPr>
          <w:rFonts w:ascii="Arial" w:eastAsia="Calibri" w:hAnsi="Arial" w:cs="Arial"/>
          <w:b/>
          <w:i/>
          <w:sz w:val="22"/>
          <w:szCs w:val="22"/>
        </w:rPr>
      </w:pPr>
      <w:r>
        <w:rPr>
          <w:rFonts w:ascii="Arial" w:eastAsia="Calibri" w:hAnsi="Arial" w:cs="Arial"/>
          <w:b/>
          <w:i/>
          <w:sz w:val="22"/>
          <w:szCs w:val="22"/>
        </w:rPr>
        <w:t>Le conse</w:t>
      </w:r>
      <w:r w:rsidR="00890F1A">
        <w:rPr>
          <w:rFonts w:ascii="Arial" w:eastAsia="Calibri" w:hAnsi="Arial" w:cs="Arial"/>
          <w:b/>
          <w:i/>
          <w:sz w:val="22"/>
          <w:szCs w:val="22"/>
        </w:rPr>
        <w:t>il municipal, après en avoir dé</w:t>
      </w:r>
      <w:r>
        <w:rPr>
          <w:rFonts w:ascii="Arial" w:eastAsia="Calibri" w:hAnsi="Arial" w:cs="Arial"/>
          <w:b/>
          <w:i/>
          <w:sz w:val="22"/>
          <w:szCs w:val="22"/>
        </w:rPr>
        <w:t xml:space="preserve">libéré, </w:t>
      </w:r>
      <w:r w:rsidR="00890F1A">
        <w:rPr>
          <w:rFonts w:ascii="Arial" w:eastAsia="Calibri" w:hAnsi="Arial" w:cs="Arial"/>
          <w:b/>
          <w:i/>
          <w:sz w:val="22"/>
          <w:szCs w:val="22"/>
        </w:rPr>
        <w:t>à la majorité :</w:t>
      </w:r>
    </w:p>
    <w:p w:rsidR="005C1F7F" w:rsidRPr="005C1F7F" w:rsidRDefault="005C1F7F" w:rsidP="005C1F7F">
      <w:pPr>
        <w:spacing w:after="0" w:line="240" w:lineRule="auto"/>
        <w:jc w:val="both"/>
        <w:rPr>
          <w:rFonts w:ascii="Arial" w:eastAsia="Calibri" w:hAnsi="Arial" w:cs="Arial"/>
          <w:b/>
          <w:i/>
          <w:sz w:val="22"/>
          <w:szCs w:val="22"/>
        </w:rPr>
      </w:pPr>
    </w:p>
    <w:p w:rsidR="005C1F7F" w:rsidRPr="005C1F7F" w:rsidRDefault="00890F1A" w:rsidP="00346E72">
      <w:pPr>
        <w:numPr>
          <w:ilvl w:val="0"/>
          <w:numId w:val="7"/>
        </w:numPr>
        <w:spacing w:after="0" w:line="259" w:lineRule="auto"/>
        <w:ind w:right="1"/>
        <w:contextualSpacing/>
        <w:jc w:val="both"/>
        <w:rPr>
          <w:rFonts w:ascii="Arial" w:eastAsia="Calibri" w:hAnsi="Arial" w:cs="Arial"/>
          <w:b/>
          <w:i/>
          <w:sz w:val="22"/>
          <w:szCs w:val="22"/>
        </w:rPr>
      </w:pPr>
      <w:r>
        <w:rPr>
          <w:rFonts w:ascii="Arial" w:eastAsia="Calibri" w:hAnsi="Arial" w:cs="Arial"/>
          <w:b/>
          <w:i/>
          <w:sz w:val="22"/>
          <w:szCs w:val="22"/>
        </w:rPr>
        <w:t>autorise</w:t>
      </w:r>
      <w:r w:rsidR="005C1F7F" w:rsidRPr="005C1F7F">
        <w:rPr>
          <w:rFonts w:ascii="Arial" w:eastAsia="Calibri" w:hAnsi="Arial" w:cs="Arial"/>
          <w:b/>
          <w:i/>
          <w:sz w:val="22"/>
          <w:szCs w:val="22"/>
        </w:rPr>
        <w:t xml:space="preserve"> le Maire à procéder à l’achat du bâtiment appartenant à Mme COTON-PELAGIE et M. DESSEIGNE, situé au 3 rue Mourguet, parcelle AZ 293, au prix de 200 000 euros ;</w:t>
      </w:r>
    </w:p>
    <w:p w:rsidR="005C1F7F" w:rsidRPr="005C1F7F" w:rsidRDefault="005C1F7F" w:rsidP="005C1F7F">
      <w:pPr>
        <w:spacing w:line="259" w:lineRule="auto"/>
        <w:ind w:left="720"/>
        <w:contextualSpacing/>
        <w:rPr>
          <w:rFonts w:ascii="Arial" w:eastAsia="Calibri" w:hAnsi="Arial" w:cs="Arial"/>
          <w:b/>
          <w:i/>
          <w:sz w:val="22"/>
          <w:szCs w:val="22"/>
        </w:rPr>
      </w:pPr>
    </w:p>
    <w:p w:rsidR="005C1F7F" w:rsidRPr="005C1F7F" w:rsidRDefault="005C1F7F" w:rsidP="00346E72">
      <w:pPr>
        <w:numPr>
          <w:ilvl w:val="0"/>
          <w:numId w:val="7"/>
        </w:numPr>
        <w:spacing w:after="0" w:line="259" w:lineRule="auto"/>
        <w:ind w:right="1"/>
        <w:contextualSpacing/>
        <w:jc w:val="both"/>
        <w:rPr>
          <w:rFonts w:ascii="Arial" w:eastAsia="Calibri" w:hAnsi="Arial" w:cs="Arial"/>
          <w:sz w:val="22"/>
          <w:szCs w:val="22"/>
        </w:rPr>
      </w:pPr>
      <w:r w:rsidRPr="005C1F7F">
        <w:rPr>
          <w:rFonts w:ascii="Arial" w:eastAsia="Calibri" w:hAnsi="Arial" w:cs="Arial"/>
          <w:b/>
          <w:i/>
          <w:sz w:val="22"/>
          <w:szCs w:val="22"/>
        </w:rPr>
        <w:t>autorise le Maire à entreprendre toutes les démarches et à signer tous les documents nécessaires à cette acquisition.</w:t>
      </w:r>
    </w:p>
    <w:p w:rsidR="00596B5F" w:rsidRDefault="00596B5F" w:rsidP="00280AFC">
      <w:pPr>
        <w:spacing w:after="0" w:line="240" w:lineRule="auto"/>
        <w:ind w:left="1440" w:right="1"/>
        <w:jc w:val="both"/>
        <w:rPr>
          <w:rFonts w:ascii="Arial" w:eastAsia="Times New Roman" w:hAnsi="Arial" w:cs="Arial"/>
          <w:b/>
          <w:bCs/>
          <w:i/>
          <w:sz w:val="22"/>
          <w:szCs w:val="22"/>
          <w:lang w:eastAsia="fr-FR"/>
        </w:rPr>
      </w:pPr>
    </w:p>
    <w:p w:rsidR="00596B5F" w:rsidRPr="00280AFC" w:rsidRDefault="00596B5F" w:rsidP="00280AFC">
      <w:pPr>
        <w:spacing w:after="0" w:line="240" w:lineRule="auto"/>
        <w:ind w:left="1440" w:right="1"/>
        <w:jc w:val="both"/>
        <w:rPr>
          <w:rFonts w:ascii="Arial" w:eastAsia="Times New Roman" w:hAnsi="Arial" w:cs="Arial"/>
          <w:b/>
          <w:bCs/>
          <w:i/>
          <w:sz w:val="22"/>
          <w:szCs w:val="22"/>
          <w:lang w:eastAsia="fr-FR"/>
        </w:rPr>
      </w:pPr>
    </w:p>
    <w:p w:rsidR="00890F1A" w:rsidRPr="00890F1A" w:rsidRDefault="00890F1A" w:rsidP="00346E72">
      <w:pPr>
        <w:numPr>
          <w:ilvl w:val="0"/>
          <w:numId w:val="2"/>
        </w:numPr>
        <w:spacing w:after="0" w:line="240" w:lineRule="auto"/>
        <w:ind w:right="1"/>
        <w:jc w:val="both"/>
        <w:rPr>
          <w:rFonts w:ascii="Arial" w:eastAsia="Times New Roman" w:hAnsi="Arial" w:cs="Arial"/>
          <w:b/>
          <w:bCs/>
          <w:sz w:val="22"/>
          <w:szCs w:val="22"/>
          <w:u w:val="single"/>
          <w:lang w:eastAsia="fr-FR"/>
        </w:rPr>
      </w:pPr>
      <w:r w:rsidRPr="00890F1A">
        <w:rPr>
          <w:rFonts w:ascii="Arial" w:eastAsia="Times New Roman" w:hAnsi="Arial" w:cs="Arial"/>
          <w:b/>
          <w:bCs/>
          <w:sz w:val="22"/>
          <w:szCs w:val="22"/>
          <w:u w:val="single"/>
          <w:lang w:eastAsia="fr-FR"/>
        </w:rPr>
        <w:t>Renoncement à l’acquisition de la parcelle AY 385 dans le cadre de l’emplacement réservé n°5 du PLU</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Geneviève GONIN présente le sujet.</w:t>
      </w:r>
    </w:p>
    <w:p w:rsidR="00890F1A" w:rsidRPr="00890F1A" w:rsidRDefault="00890F1A" w:rsidP="00890F1A">
      <w:pPr>
        <w:spacing w:after="0" w:line="240" w:lineRule="auto"/>
        <w:ind w:right="1"/>
        <w:jc w:val="both"/>
        <w:rPr>
          <w:rFonts w:ascii="Arial" w:eastAsia="Times New Roman" w:hAnsi="Arial" w:cs="Arial"/>
          <w:b/>
          <w:bCs/>
          <w:i/>
          <w:sz w:val="22"/>
          <w:szCs w:val="22"/>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Pr>
          <w:rFonts w:ascii="Arial" w:eastAsia="Times New Roman" w:hAnsi="Arial" w:cs="Arial"/>
          <w:bCs/>
          <w:sz w:val="22"/>
          <w:szCs w:val="22"/>
          <w:lang w:eastAsia="fr-FR"/>
        </w:rPr>
        <w:t>« </w:t>
      </w:r>
      <w:r w:rsidRPr="00890F1A">
        <w:rPr>
          <w:rFonts w:ascii="Arial" w:eastAsia="Times New Roman" w:hAnsi="Arial" w:cs="Arial"/>
          <w:bCs/>
          <w:sz w:val="22"/>
          <w:szCs w:val="22"/>
          <w:lang w:eastAsia="fr-FR"/>
        </w:rPr>
        <w:t xml:space="preserve">La commune du Péage de Roussillon est bénéficiaire de l’emplacement réservé n°5 au PLU, portant sur trois parcelles : AY 381, AY 384, AY 385. L’objet de cet emplacement réservé est la réalisation d’un parking paysagé pour pallier au manque de stationnement dans le vieux Péage.  </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 xml:space="preserve">Un emplacement réservé entraîne le gel de la constructibilité du terrain, afin de ne pas rendre plus coûteuse la réalisation du projet de la collectivité. </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 xml:space="preserve">Les propriétaires des parcelles concernées peuvent mettre en demeure le bénéficiaire de l’emplacement réservé d’acquérir le bien. Ce droit de délaissement est prévu aux articles L.152-2 et L.230-1 du code de l’urbanisme. La commune dispose alors d’un an pour se prononcer. </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Ainsi, M. et Mme DABANLI, propriétaires de la parcelle AY 385 d’une surface de 399 mètres carrés, ont mis en demeure la collectivité d’acquérir leur parcelle avant le 26 avril 2019, pour la somme de 90 000 euros.</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Une estimation des Domaines a été demandée. La parcelle a ainsi été estimée à 40 000 euros.</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 xml:space="preserve">La question de l’achat de cette parcelle a été débattue lors de la commission urbanisme du 17 décembre 2018, puis en municipalité. </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Dans un contexte budgétaire très contraint, la municipalité ne souhaite pas acquérir la parcelle au prix demandé par les propriétaires. En effet, outre le prix élevé d’achat du terrain, la commune devrait aussi financer un projet d’aménagement de parking</w:t>
      </w:r>
      <w:r>
        <w:rPr>
          <w:rFonts w:ascii="Arial" w:eastAsia="Times New Roman" w:hAnsi="Arial" w:cs="Arial"/>
          <w:bCs/>
          <w:sz w:val="22"/>
          <w:szCs w:val="22"/>
          <w:lang w:eastAsia="fr-FR"/>
        </w:rPr>
        <w:t> »</w:t>
      </w:r>
      <w:r w:rsidRPr="00890F1A">
        <w:rPr>
          <w:rFonts w:ascii="Arial" w:eastAsia="Times New Roman" w:hAnsi="Arial" w:cs="Arial"/>
          <w:bCs/>
          <w:sz w:val="22"/>
          <w:szCs w:val="22"/>
          <w:lang w:eastAsia="fr-FR"/>
        </w:rPr>
        <w:t xml:space="preserve">. </w:t>
      </w:r>
    </w:p>
    <w:p w:rsidR="00890F1A" w:rsidRDefault="00890F1A" w:rsidP="00890F1A">
      <w:pPr>
        <w:spacing w:after="0" w:line="240" w:lineRule="auto"/>
        <w:ind w:right="1"/>
        <w:jc w:val="both"/>
        <w:rPr>
          <w:rFonts w:ascii="Arial" w:eastAsia="Times New Roman" w:hAnsi="Arial" w:cs="Arial"/>
          <w:bCs/>
          <w:sz w:val="22"/>
          <w:szCs w:val="22"/>
          <w:lang w:eastAsia="fr-FR"/>
        </w:rPr>
      </w:pPr>
    </w:p>
    <w:p w:rsidR="00890F1A" w:rsidRDefault="00890F1A" w:rsidP="00890F1A">
      <w:pPr>
        <w:spacing w:after="0" w:line="240" w:lineRule="auto"/>
        <w:ind w:right="1"/>
        <w:jc w:val="both"/>
        <w:rPr>
          <w:rFonts w:ascii="Arial" w:eastAsia="Times New Roman" w:hAnsi="Arial" w:cs="Arial"/>
          <w:bCs/>
          <w:sz w:val="22"/>
          <w:szCs w:val="22"/>
          <w:lang w:eastAsia="fr-FR"/>
        </w:rPr>
      </w:pPr>
    </w:p>
    <w:p w:rsidR="00890F1A" w:rsidRDefault="00890F1A" w:rsidP="00890F1A">
      <w:pPr>
        <w:spacing w:after="0" w:line="240" w:lineRule="auto"/>
        <w:ind w:right="1"/>
        <w:jc w:val="both"/>
        <w:rPr>
          <w:rFonts w:ascii="Arial" w:eastAsia="Times New Roman" w:hAnsi="Arial" w:cs="Arial"/>
          <w:bCs/>
          <w:sz w:val="22"/>
          <w:szCs w:val="22"/>
          <w:lang w:eastAsia="fr-FR"/>
        </w:rPr>
      </w:pPr>
    </w:p>
    <w:p w:rsidR="00890F1A" w:rsidRPr="00FE1B8E" w:rsidRDefault="00890F1A" w:rsidP="00890F1A">
      <w:pPr>
        <w:contextualSpacing/>
        <w:jc w:val="both"/>
        <w:rPr>
          <w:rFonts w:ascii="Arial" w:eastAsia="Calibri" w:hAnsi="Arial" w:cs="Arial"/>
          <w:i/>
          <w:sz w:val="22"/>
          <w:szCs w:val="22"/>
        </w:rPr>
      </w:pPr>
      <w:r w:rsidRPr="00FE1B8E">
        <w:rPr>
          <w:rFonts w:ascii="Arial" w:eastAsia="Calibri" w:hAnsi="Arial" w:cs="Arial"/>
          <w:i/>
          <w:sz w:val="22"/>
          <w:szCs w:val="22"/>
          <w:u w:val="single"/>
        </w:rPr>
        <w:t>Résultats du vote</w:t>
      </w:r>
      <w:r w:rsidRPr="00FE1B8E">
        <w:rPr>
          <w:rFonts w:ascii="Arial" w:eastAsia="Calibri" w:hAnsi="Arial" w:cs="Arial"/>
          <w:i/>
          <w:sz w:val="22"/>
          <w:szCs w:val="22"/>
        </w:rPr>
        <w:t> :</w:t>
      </w:r>
    </w:p>
    <w:p w:rsidR="00890F1A" w:rsidRPr="00FE1B8E" w:rsidRDefault="00890F1A" w:rsidP="00890F1A">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Abstentions :</w:t>
      </w:r>
      <w:r>
        <w:rPr>
          <w:rFonts w:ascii="Arial" w:eastAsia="Calibri" w:hAnsi="Arial" w:cs="Arial"/>
          <w:i/>
          <w:sz w:val="22"/>
          <w:szCs w:val="22"/>
        </w:rPr>
        <w:t xml:space="preserve"> 5</w:t>
      </w:r>
    </w:p>
    <w:p w:rsidR="00890F1A" w:rsidRPr="00FE1B8E" w:rsidRDefault="00890F1A" w:rsidP="00890F1A">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Contre :</w:t>
      </w:r>
      <w:r>
        <w:rPr>
          <w:rFonts w:ascii="Arial" w:eastAsia="Calibri" w:hAnsi="Arial" w:cs="Arial"/>
          <w:i/>
          <w:sz w:val="22"/>
          <w:szCs w:val="22"/>
        </w:rPr>
        <w:t xml:space="preserve"> 0</w:t>
      </w:r>
    </w:p>
    <w:p w:rsidR="00890F1A" w:rsidRPr="00FE1B8E" w:rsidRDefault="00890F1A" w:rsidP="00890F1A">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 xml:space="preserve">Pour : </w:t>
      </w:r>
      <w:r>
        <w:rPr>
          <w:rFonts w:ascii="Arial" w:eastAsia="Calibri" w:hAnsi="Arial" w:cs="Arial"/>
          <w:i/>
          <w:sz w:val="22"/>
          <w:szCs w:val="22"/>
        </w:rPr>
        <w:t>22</w:t>
      </w:r>
    </w:p>
    <w:p w:rsidR="00890F1A" w:rsidRPr="00890F1A" w:rsidRDefault="00890F1A" w:rsidP="00890F1A">
      <w:pPr>
        <w:spacing w:after="0" w:line="240" w:lineRule="auto"/>
        <w:ind w:right="1"/>
        <w:jc w:val="both"/>
        <w:rPr>
          <w:rFonts w:ascii="Arial" w:eastAsia="Times New Roman" w:hAnsi="Arial" w:cs="Arial"/>
          <w:bCs/>
          <w:sz w:val="22"/>
          <w:szCs w:val="22"/>
          <w:lang w:eastAsia="fr-FR"/>
        </w:rPr>
      </w:pPr>
    </w:p>
    <w:p w:rsidR="00890F1A" w:rsidRPr="00890F1A" w:rsidRDefault="00890F1A" w:rsidP="00890F1A">
      <w:pPr>
        <w:spacing w:after="0" w:line="240" w:lineRule="auto"/>
        <w:ind w:right="1"/>
        <w:jc w:val="both"/>
        <w:rPr>
          <w:rFonts w:ascii="Arial" w:eastAsia="Times New Roman" w:hAnsi="Arial" w:cs="Arial"/>
          <w:b/>
          <w:bCs/>
          <w:i/>
          <w:sz w:val="22"/>
          <w:szCs w:val="22"/>
          <w:lang w:eastAsia="fr-FR"/>
        </w:rPr>
      </w:pPr>
      <w:r>
        <w:rPr>
          <w:rFonts w:ascii="Arial" w:eastAsia="Times New Roman" w:hAnsi="Arial" w:cs="Arial"/>
          <w:b/>
          <w:bCs/>
          <w:i/>
          <w:sz w:val="22"/>
          <w:szCs w:val="22"/>
          <w:lang w:eastAsia="fr-FR"/>
        </w:rPr>
        <w:t>Le</w:t>
      </w:r>
      <w:r w:rsidRPr="00890F1A">
        <w:rPr>
          <w:rFonts w:ascii="Arial" w:eastAsia="Times New Roman" w:hAnsi="Arial" w:cs="Arial"/>
          <w:b/>
          <w:bCs/>
          <w:i/>
          <w:sz w:val="22"/>
          <w:szCs w:val="22"/>
          <w:lang w:eastAsia="fr-FR"/>
        </w:rPr>
        <w:t xml:space="preserve"> conseil municipal</w:t>
      </w:r>
      <w:r>
        <w:rPr>
          <w:rFonts w:ascii="Arial" w:eastAsia="Times New Roman" w:hAnsi="Arial" w:cs="Arial"/>
          <w:b/>
          <w:bCs/>
          <w:i/>
          <w:sz w:val="22"/>
          <w:szCs w:val="22"/>
          <w:lang w:eastAsia="fr-FR"/>
        </w:rPr>
        <w:t>, après en avoir délibéré, à l</w:t>
      </w:r>
      <w:r w:rsidR="009B1F58">
        <w:rPr>
          <w:rFonts w:ascii="Arial" w:eastAsia="Times New Roman" w:hAnsi="Arial" w:cs="Arial"/>
          <w:b/>
          <w:bCs/>
          <w:i/>
          <w:sz w:val="22"/>
          <w:szCs w:val="22"/>
          <w:lang w:eastAsia="fr-FR"/>
        </w:rPr>
        <w:t>a majorité</w:t>
      </w:r>
      <w:r>
        <w:rPr>
          <w:rFonts w:ascii="Arial" w:eastAsia="Times New Roman" w:hAnsi="Arial" w:cs="Arial"/>
          <w:b/>
          <w:bCs/>
          <w:i/>
          <w:sz w:val="22"/>
          <w:szCs w:val="22"/>
          <w:lang w:eastAsia="fr-FR"/>
        </w:rPr>
        <w:t>,</w:t>
      </w:r>
      <w:r w:rsidRPr="00890F1A">
        <w:rPr>
          <w:rFonts w:ascii="Arial" w:eastAsia="Times New Roman" w:hAnsi="Arial" w:cs="Arial"/>
          <w:b/>
          <w:bCs/>
          <w:i/>
          <w:sz w:val="22"/>
          <w:szCs w:val="22"/>
          <w:lang w:eastAsia="fr-FR"/>
        </w:rPr>
        <w:t xml:space="preserve"> renonce, dans le cadre de l’emplacement réservé n°5 du PLU, à l’acquisition de la parcelle AY 385.</w:t>
      </w:r>
    </w:p>
    <w:p w:rsidR="00890F1A" w:rsidRPr="00890F1A" w:rsidRDefault="00890F1A" w:rsidP="00890F1A">
      <w:pPr>
        <w:spacing w:after="0" w:line="240" w:lineRule="auto"/>
        <w:ind w:right="1"/>
        <w:jc w:val="both"/>
        <w:rPr>
          <w:rFonts w:ascii="Arial" w:eastAsia="Times New Roman" w:hAnsi="Arial" w:cs="Arial"/>
          <w:b/>
          <w:bCs/>
          <w:i/>
          <w:sz w:val="22"/>
          <w:szCs w:val="22"/>
          <w:lang w:eastAsia="fr-FR"/>
        </w:rPr>
      </w:pPr>
    </w:p>
    <w:p w:rsidR="00280AFC" w:rsidRDefault="00280AFC" w:rsidP="003E2566">
      <w:pPr>
        <w:spacing w:after="0" w:line="259" w:lineRule="auto"/>
        <w:jc w:val="both"/>
        <w:rPr>
          <w:rFonts w:ascii="Arial" w:eastAsia="Calibri" w:hAnsi="Arial" w:cs="Arial"/>
        </w:rPr>
      </w:pPr>
    </w:p>
    <w:p w:rsidR="00890F1A" w:rsidRPr="00890F1A" w:rsidRDefault="00890F1A" w:rsidP="00346E72">
      <w:pPr>
        <w:numPr>
          <w:ilvl w:val="0"/>
          <w:numId w:val="2"/>
        </w:numPr>
        <w:spacing w:after="0" w:line="240" w:lineRule="auto"/>
        <w:ind w:right="1"/>
        <w:jc w:val="both"/>
        <w:rPr>
          <w:rFonts w:ascii="Arial" w:eastAsia="Times New Roman" w:hAnsi="Arial" w:cs="Arial"/>
          <w:b/>
          <w:bCs/>
          <w:sz w:val="22"/>
          <w:szCs w:val="22"/>
          <w:u w:val="single"/>
          <w:lang w:eastAsia="fr-FR"/>
        </w:rPr>
      </w:pPr>
      <w:r w:rsidRPr="00890F1A">
        <w:rPr>
          <w:rFonts w:ascii="Arial" w:eastAsia="Times New Roman" w:hAnsi="Arial" w:cs="Arial"/>
          <w:b/>
          <w:bCs/>
          <w:sz w:val="22"/>
          <w:szCs w:val="22"/>
          <w:u w:val="single"/>
          <w:lang w:eastAsia="fr-FR"/>
        </w:rPr>
        <w:t>Mandat donné au centre de gestion de la fonction publique territoriale de l’Isère afin de développer une convention de participation de protection sociale complémentaire avec participation employeur</w:t>
      </w:r>
    </w:p>
    <w:p w:rsidR="00890F1A" w:rsidRDefault="00890F1A" w:rsidP="00890F1A">
      <w:pPr>
        <w:spacing w:after="0" w:line="240" w:lineRule="auto"/>
        <w:ind w:right="1"/>
        <w:jc w:val="both"/>
        <w:rPr>
          <w:rFonts w:ascii="Arial" w:eastAsia="Times New Roman" w:hAnsi="Arial" w:cs="Arial"/>
          <w:b/>
          <w:bCs/>
          <w:sz w:val="22"/>
          <w:szCs w:val="22"/>
          <w:u w:val="single"/>
          <w:lang w:eastAsia="fr-FR"/>
        </w:rPr>
      </w:pPr>
    </w:p>
    <w:p w:rsidR="00890F1A" w:rsidRDefault="00890F1A" w:rsidP="00890F1A">
      <w:pPr>
        <w:spacing w:after="0" w:line="240" w:lineRule="auto"/>
        <w:ind w:right="1"/>
        <w:jc w:val="both"/>
        <w:rPr>
          <w:rFonts w:ascii="Arial" w:eastAsia="Times New Roman" w:hAnsi="Arial" w:cs="Arial"/>
          <w:b/>
          <w:bCs/>
          <w:sz w:val="22"/>
          <w:szCs w:val="22"/>
          <w:u w:val="single"/>
          <w:lang w:eastAsia="fr-FR"/>
        </w:rPr>
      </w:pPr>
    </w:p>
    <w:p w:rsidR="00890F1A" w:rsidRPr="00890F1A" w:rsidRDefault="00890F1A" w:rsidP="00890F1A">
      <w:pPr>
        <w:spacing w:after="0" w:line="240" w:lineRule="auto"/>
        <w:ind w:right="1"/>
        <w:jc w:val="both"/>
        <w:rPr>
          <w:rFonts w:ascii="Arial" w:eastAsia="Times New Roman" w:hAnsi="Arial" w:cs="Arial"/>
          <w:bCs/>
          <w:sz w:val="22"/>
          <w:szCs w:val="22"/>
          <w:lang w:eastAsia="fr-FR"/>
        </w:rPr>
      </w:pPr>
      <w:r w:rsidRPr="00890F1A">
        <w:rPr>
          <w:rFonts w:ascii="Arial" w:eastAsia="Times New Roman" w:hAnsi="Arial" w:cs="Arial"/>
          <w:bCs/>
          <w:sz w:val="22"/>
          <w:szCs w:val="22"/>
          <w:lang w:eastAsia="fr-FR"/>
        </w:rPr>
        <w:t>Jacqueline LAMY présente le sujet.</w:t>
      </w:r>
    </w:p>
    <w:p w:rsidR="00890F1A" w:rsidRDefault="00890F1A" w:rsidP="00890F1A">
      <w:pPr>
        <w:spacing w:after="0" w:line="240" w:lineRule="auto"/>
        <w:ind w:right="1"/>
        <w:jc w:val="both"/>
        <w:rPr>
          <w:rFonts w:ascii="Arial" w:eastAsia="Times New Roman" w:hAnsi="Arial" w:cs="Arial"/>
          <w:b/>
          <w:bCs/>
          <w:sz w:val="22"/>
          <w:szCs w:val="22"/>
          <w:u w:val="single"/>
          <w:lang w:eastAsia="fr-FR"/>
        </w:rPr>
      </w:pPr>
    </w:p>
    <w:p w:rsidR="00890F1A" w:rsidRPr="00890F1A" w:rsidRDefault="00890F1A" w:rsidP="00890F1A">
      <w:pPr>
        <w:spacing w:after="0" w:line="240" w:lineRule="auto"/>
        <w:jc w:val="both"/>
        <w:rPr>
          <w:rFonts w:ascii="Arial" w:eastAsia="Times New Roman" w:hAnsi="Arial" w:cs="Arial"/>
          <w:sz w:val="22"/>
          <w:szCs w:val="24"/>
          <w:lang w:eastAsia="fr-FR"/>
        </w:rPr>
      </w:pPr>
      <w:r>
        <w:rPr>
          <w:rFonts w:ascii="Arial" w:eastAsia="Times New Roman" w:hAnsi="Arial" w:cs="Arial"/>
          <w:sz w:val="22"/>
          <w:szCs w:val="24"/>
          <w:lang w:eastAsia="fr-FR"/>
        </w:rPr>
        <w:t>« </w:t>
      </w:r>
      <w:r w:rsidRPr="00890F1A">
        <w:rPr>
          <w:rFonts w:ascii="Arial" w:eastAsia="Times New Roman" w:hAnsi="Arial" w:cs="Arial"/>
          <w:sz w:val="22"/>
          <w:szCs w:val="24"/>
          <w:lang w:eastAsia="fr-FR"/>
        </w:rPr>
        <w:t>La loi du 19 février 2007 (article 71) a donné la possibilité aux collectivités de souscrire un ou plusieurs contrats d’action sociale pour leurs agents, et d’en définir librement les modalités. De tels contrats visent à améliorer les conditions de vie des agents publics et de leur famille en les aidant à faire face à des situations difficiles en cas de maladies, d’accidents de la vie ou des situations entraînant une dépendance. Pour ce faire, les collectivités peuvent agir directement ou faire appel aux services du centre de gestion de la fonction publique territoriale de l’Isère.</w:t>
      </w:r>
    </w:p>
    <w:p w:rsidR="00890F1A" w:rsidRPr="00890F1A" w:rsidRDefault="00890F1A" w:rsidP="00890F1A">
      <w:pPr>
        <w:spacing w:after="0" w:line="240" w:lineRule="auto"/>
        <w:jc w:val="both"/>
        <w:rPr>
          <w:rFonts w:ascii="Arial" w:eastAsia="Times New Roman" w:hAnsi="Arial" w:cs="Arial"/>
          <w:sz w:val="22"/>
          <w:szCs w:val="24"/>
          <w:lang w:eastAsia="fr-FR"/>
        </w:rPr>
      </w:pPr>
    </w:p>
    <w:p w:rsidR="00890F1A" w:rsidRPr="00890F1A" w:rsidRDefault="00890F1A" w:rsidP="00890F1A">
      <w:pPr>
        <w:spacing w:after="0" w:line="240" w:lineRule="auto"/>
        <w:jc w:val="both"/>
        <w:rPr>
          <w:rFonts w:ascii="Arial" w:eastAsia="Times New Roman" w:hAnsi="Arial" w:cs="Arial"/>
          <w:sz w:val="22"/>
          <w:szCs w:val="24"/>
          <w:lang w:eastAsia="fr-FR"/>
        </w:rPr>
      </w:pPr>
      <w:r w:rsidRPr="00890F1A">
        <w:rPr>
          <w:rFonts w:ascii="Arial" w:eastAsia="Times New Roman" w:hAnsi="Arial" w:cs="Arial"/>
          <w:sz w:val="22"/>
          <w:szCs w:val="24"/>
          <w:lang w:eastAsia="fr-FR"/>
        </w:rPr>
        <w:t>Le centre de gestion propose de négocier un contrat cadre, ouvert à l’adhésion facultative des agents, dont l’avantage est de mutualiser les coûts et les risques dans les domaines de la garantie maintien de salaire et de la complémentaire santé.</w:t>
      </w:r>
    </w:p>
    <w:p w:rsidR="00890F1A" w:rsidRPr="00890F1A" w:rsidRDefault="00890F1A" w:rsidP="00890F1A">
      <w:pPr>
        <w:spacing w:after="0" w:line="240" w:lineRule="auto"/>
        <w:jc w:val="both"/>
        <w:rPr>
          <w:rFonts w:ascii="Arial" w:eastAsia="Times New Roman" w:hAnsi="Arial" w:cs="Arial"/>
          <w:sz w:val="22"/>
          <w:szCs w:val="24"/>
          <w:lang w:eastAsia="fr-FR"/>
        </w:rPr>
      </w:pPr>
    </w:p>
    <w:p w:rsidR="00890F1A" w:rsidRPr="00890F1A" w:rsidRDefault="00890F1A" w:rsidP="00890F1A">
      <w:pPr>
        <w:spacing w:after="0" w:line="240" w:lineRule="auto"/>
        <w:jc w:val="both"/>
        <w:rPr>
          <w:rFonts w:ascii="Arial" w:eastAsia="Times New Roman" w:hAnsi="Arial" w:cs="Arial"/>
          <w:sz w:val="22"/>
          <w:szCs w:val="22"/>
          <w:lang w:eastAsia="fr-FR"/>
        </w:rPr>
      </w:pPr>
      <w:r w:rsidRPr="00890F1A">
        <w:rPr>
          <w:rFonts w:ascii="Arial" w:eastAsia="Times New Roman" w:hAnsi="Arial" w:cs="Arial"/>
          <w:sz w:val="22"/>
          <w:szCs w:val="22"/>
          <w:lang w:eastAsia="fr-FR"/>
        </w:rPr>
        <w:t xml:space="preserve">Le décret d’application du 8 novembre 2011 de la loi du 2 février 2007 permet aux collectivités locales de participer au financement de la protection sociale complémentaire de leurs agents. </w:t>
      </w:r>
    </w:p>
    <w:p w:rsidR="00890F1A" w:rsidRPr="00890F1A" w:rsidRDefault="00890F1A" w:rsidP="00890F1A">
      <w:pPr>
        <w:spacing w:after="0" w:line="240" w:lineRule="auto"/>
        <w:jc w:val="both"/>
        <w:rPr>
          <w:rFonts w:ascii="Arial" w:eastAsia="Times New Roman" w:hAnsi="Arial" w:cs="Arial"/>
          <w:sz w:val="22"/>
          <w:szCs w:val="22"/>
          <w:lang w:eastAsia="fr-FR"/>
        </w:rPr>
      </w:pPr>
    </w:p>
    <w:p w:rsidR="00890F1A" w:rsidRPr="00890F1A" w:rsidRDefault="00890F1A" w:rsidP="00890F1A">
      <w:pPr>
        <w:spacing w:after="0" w:line="240" w:lineRule="auto"/>
        <w:jc w:val="both"/>
        <w:rPr>
          <w:rFonts w:ascii="Arial" w:eastAsia="Times New Roman" w:hAnsi="Arial" w:cs="Arial"/>
          <w:sz w:val="22"/>
          <w:szCs w:val="22"/>
          <w:lang w:eastAsia="fr-FR"/>
        </w:rPr>
      </w:pPr>
      <w:r w:rsidRPr="00890F1A">
        <w:rPr>
          <w:rFonts w:ascii="Arial" w:eastAsia="Times New Roman" w:hAnsi="Arial" w:cs="Arial"/>
          <w:sz w:val="22"/>
          <w:szCs w:val="22"/>
          <w:lang w:eastAsia="fr-FR"/>
        </w:rPr>
        <w:t>Il s’agit d’un moyen offert aux collectivités pour encourager les agents territoriaux à se doter d’une couverture prévoyance et pour favoriser leur accès aux soins. Le nouveau contrat cadre imposera donc une participation financière de l’employeur (les modalités de la participation seront librement déterminées par la collectivité) qui devra être définie par délibération.</w:t>
      </w:r>
    </w:p>
    <w:p w:rsidR="00890F1A" w:rsidRPr="00890F1A" w:rsidRDefault="00890F1A" w:rsidP="00890F1A">
      <w:pPr>
        <w:spacing w:after="0" w:line="240" w:lineRule="auto"/>
        <w:jc w:val="both"/>
        <w:rPr>
          <w:rFonts w:ascii="Arial" w:eastAsia="Times New Roman" w:hAnsi="Arial" w:cs="Arial"/>
          <w:sz w:val="22"/>
          <w:szCs w:val="22"/>
          <w:lang w:eastAsia="fr-FR"/>
        </w:rPr>
      </w:pPr>
    </w:p>
    <w:p w:rsidR="00890F1A" w:rsidRPr="00890F1A" w:rsidRDefault="00890F1A" w:rsidP="00890F1A">
      <w:pPr>
        <w:spacing w:after="0" w:line="240" w:lineRule="auto"/>
        <w:jc w:val="both"/>
        <w:rPr>
          <w:rFonts w:ascii="Arial" w:eastAsia="Times New Roman" w:hAnsi="Arial" w:cs="Arial"/>
          <w:sz w:val="22"/>
          <w:szCs w:val="22"/>
          <w:lang w:eastAsia="fr-FR"/>
        </w:rPr>
      </w:pPr>
      <w:r w:rsidRPr="00890F1A">
        <w:rPr>
          <w:rFonts w:ascii="Arial" w:eastAsia="Times New Roman" w:hAnsi="Arial" w:cs="Arial"/>
          <w:sz w:val="22"/>
          <w:szCs w:val="22"/>
          <w:lang w:eastAsia="fr-FR"/>
        </w:rPr>
        <w:t>La commune du Péage de Roussillon est adhérente au précédent contrat cadre négocié par le centre de gestion, qui arrive à son terme le 31 décembre 2019.</w:t>
      </w:r>
    </w:p>
    <w:p w:rsidR="00890F1A" w:rsidRDefault="00890F1A" w:rsidP="00890F1A">
      <w:pPr>
        <w:spacing w:after="0" w:line="240" w:lineRule="auto"/>
        <w:ind w:right="1"/>
        <w:jc w:val="both"/>
        <w:rPr>
          <w:rFonts w:ascii="Arial" w:eastAsia="Times New Roman" w:hAnsi="Arial" w:cs="Arial"/>
          <w:b/>
          <w:bCs/>
          <w:sz w:val="22"/>
          <w:szCs w:val="22"/>
          <w:u w:val="single"/>
          <w:lang w:eastAsia="fr-FR"/>
        </w:rPr>
      </w:pPr>
    </w:p>
    <w:p w:rsidR="00890F1A" w:rsidRPr="00890F1A" w:rsidRDefault="00890F1A" w:rsidP="00890F1A">
      <w:pPr>
        <w:spacing w:after="0" w:line="240" w:lineRule="auto"/>
        <w:ind w:right="1"/>
        <w:jc w:val="both"/>
        <w:rPr>
          <w:rFonts w:ascii="Arial" w:eastAsia="Times New Roman" w:hAnsi="Arial" w:cs="Arial"/>
          <w:b/>
          <w:bCs/>
          <w:sz w:val="22"/>
          <w:szCs w:val="22"/>
          <w:u w:val="single"/>
          <w:lang w:eastAsia="fr-FR"/>
        </w:rPr>
      </w:pPr>
    </w:p>
    <w:p w:rsidR="00890F1A" w:rsidRPr="00FE1B8E" w:rsidRDefault="00890F1A" w:rsidP="00890F1A">
      <w:pPr>
        <w:contextualSpacing/>
        <w:jc w:val="both"/>
        <w:rPr>
          <w:rFonts w:ascii="Arial" w:eastAsia="Calibri" w:hAnsi="Arial" w:cs="Arial"/>
          <w:i/>
          <w:sz w:val="22"/>
          <w:szCs w:val="22"/>
        </w:rPr>
      </w:pPr>
      <w:r w:rsidRPr="00FE1B8E">
        <w:rPr>
          <w:rFonts w:ascii="Arial" w:eastAsia="Calibri" w:hAnsi="Arial" w:cs="Arial"/>
          <w:i/>
          <w:sz w:val="22"/>
          <w:szCs w:val="22"/>
          <w:u w:val="single"/>
        </w:rPr>
        <w:t>Résultats du vote</w:t>
      </w:r>
      <w:r w:rsidRPr="00FE1B8E">
        <w:rPr>
          <w:rFonts w:ascii="Arial" w:eastAsia="Calibri" w:hAnsi="Arial" w:cs="Arial"/>
          <w:i/>
          <w:sz w:val="22"/>
          <w:szCs w:val="22"/>
        </w:rPr>
        <w:t> :</w:t>
      </w:r>
    </w:p>
    <w:p w:rsidR="00890F1A" w:rsidRPr="00FE1B8E" w:rsidRDefault="00890F1A" w:rsidP="00890F1A">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Abstentions :</w:t>
      </w:r>
      <w:r>
        <w:rPr>
          <w:rFonts w:ascii="Arial" w:eastAsia="Calibri" w:hAnsi="Arial" w:cs="Arial"/>
          <w:i/>
          <w:sz w:val="22"/>
          <w:szCs w:val="22"/>
        </w:rPr>
        <w:t xml:space="preserve"> 0</w:t>
      </w:r>
    </w:p>
    <w:p w:rsidR="00890F1A" w:rsidRPr="00FE1B8E" w:rsidRDefault="00890F1A" w:rsidP="00890F1A">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Contre :</w:t>
      </w:r>
      <w:r>
        <w:rPr>
          <w:rFonts w:ascii="Arial" w:eastAsia="Calibri" w:hAnsi="Arial" w:cs="Arial"/>
          <w:i/>
          <w:sz w:val="22"/>
          <w:szCs w:val="22"/>
        </w:rPr>
        <w:t xml:space="preserve"> 0</w:t>
      </w:r>
    </w:p>
    <w:p w:rsidR="00890F1A" w:rsidRPr="00FE1B8E" w:rsidRDefault="00890F1A" w:rsidP="00890F1A">
      <w:pPr>
        <w:tabs>
          <w:tab w:val="left" w:pos="284"/>
        </w:tabs>
        <w:contextualSpacing/>
        <w:jc w:val="both"/>
        <w:rPr>
          <w:rFonts w:ascii="Arial" w:eastAsia="Calibri" w:hAnsi="Arial" w:cs="Arial"/>
          <w:i/>
          <w:sz w:val="22"/>
          <w:szCs w:val="22"/>
        </w:rPr>
      </w:pPr>
      <w:r w:rsidRPr="00FE1B8E">
        <w:rPr>
          <w:rFonts w:ascii="Arial" w:eastAsia="Calibri" w:hAnsi="Arial" w:cs="Arial"/>
          <w:i/>
          <w:sz w:val="22"/>
          <w:szCs w:val="22"/>
        </w:rPr>
        <w:tab/>
        <w:t xml:space="preserve">Pour : </w:t>
      </w:r>
      <w:r>
        <w:rPr>
          <w:rFonts w:ascii="Arial" w:eastAsia="Calibri" w:hAnsi="Arial" w:cs="Arial"/>
          <w:i/>
          <w:sz w:val="22"/>
          <w:szCs w:val="22"/>
        </w:rPr>
        <w:t>27</w:t>
      </w:r>
    </w:p>
    <w:p w:rsidR="00890F1A" w:rsidRDefault="00890F1A" w:rsidP="00890F1A">
      <w:pPr>
        <w:spacing w:after="0" w:line="240" w:lineRule="auto"/>
        <w:ind w:right="1"/>
        <w:jc w:val="both"/>
        <w:rPr>
          <w:rFonts w:ascii="Arial" w:eastAsia="Times New Roman" w:hAnsi="Arial" w:cs="Arial"/>
          <w:b/>
          <w:bCs/>
          <w:sz w:val="22"/>
          <w:szCs w:val="22"/>
          <w:u w:val="single"/>
          <w:lang w:eastAsia="fr-FR"/>
        </w:rPr>
      </w:pPr>
    </w:p>
    <w:p w:rsidR="00DA0B34" w:rsidRPr="00DA0B34" w:rsidRDefault="00DA0B34" w:rsidP="00DA0B34">
      <w:pPr>
        <w:spacing w:after="0" w:line="240" w:lineRule="auto"/>
        <w:ind w:right="23"/>
        <w:jc w:val="both"/>
        <w:rPr>
          <w:rFonts w:ascii="Arial" w:eastAsia="Times New Roman" w:hAnsi="Arial" w:cs="Arial"/>
          <w:b/>
          <w:bCs/>
          <w:i/>
          <w:iCs/>
          <w:sz w:val="22"/>
          <w:szCs w:val="22"/>
          <w:lang w:eastAsia="fr-FR"/>
        </w:rPr>
      </w:pPr>
      <w:r w:rsidRPr="00DA0B34">
        <w:rPr>
          <w:rFonts w:ascii="Arial" w:eastAsia="Times New Roman" w:hAnsi="Arial" w:cs="Arial"/>
          <w:b/>
          <w:bCs/>
          <w:i/>
          <w:iCs/>
          <w:sz w:val="22"/>
          <w:szCs w:val="22"/>
          <w:lang w:eastAsia="fr-FR"/>
        </w:rPr>
        <w:t>Le conseil municipal, après en avoir délibéré, à l’unanimité :</w:t>
      </w:r>
    </w:p>
    <w:p w:rsidR="00DA0B34" w:rsidRPr="00DA0B34" w:rsidRDefault="00DA0B34" w:rsidP="00DA0B34">
      <w:pPr>
        <w:spacing w:after="0" w:line="240" w:lineRule="auto"/>
        <w:ind w:right="23"/>
        <w:jc w:val="both"/>
        <w:rPr>
          <w:rFonts w:ascii="Arial" w:eastAsia="Times New Roman" w:hAnsi="Arial" w:cs="Arial"/>
          <w:b/>
          <w:bCs/>
          <w:i/>
          <w:iCs/>
          <w:sz w:val="22"/>
          <w:szCs w:val="22"/>
          <w:lang w:eastAsia="fr-FR"/>
        </w:rPr>
      </w:pPr>
    </w:p>
    <w:p w:rsidR="00DA0B34" w:rsidRPr="00DA0B34" w:rsidRDefault="00DA0B34" w:rsidP="00DA0B34">
      <w:pPr>
        <w:spacing w:after="0" w:line="240" w:lineRule="auto"/>
        <w:ind w:right="23"/>
        <w:jc w:val="both"/>
        <w:rPr>
          <w:rFonts w:ascii="Arial" w:eastAsia="Times New Roman" w:hAnsi="Arial" w:cs="Arial"/>
          <w:b/>
          <w:i/>
          <w:sz w:val="22"/>
          <w:szCs w:val="22"/>
          <w:lang w:eastAsia="fr-FR"/>
        </w:rPr>
      </w:pPr>
      <w:r w:rsidRPr="00DA0B34">
        <w:rPr>
          <w:rFonts w:ascii="Arial" w:eastAsia="Times New Roman" w:hAnsi="Arial" w:cs="Arial"/>
          <w:b/>
          <w:bCs/>
          <w:i/>
          <w:iCs/>
          <w:sz w:val="22"/>
          <w:szCs w:val="22"/>
          <w:lang w:eastAsia="fr-FR"/>
        </w:rPr>
        <w:t xml:space="preserve">- </w:t>
      </w:r>
      <w:r w:rsidRPr="00DA0B34">
        <w:rPr>
          <w:rFonts w:ascii="Arial" w:eastAsia="Times New Roman" w:hAnsi="Arial" w:cs="Arial"/>
          <w:b/>
          <w:i/>
          <w:sz w:val="22"/>
          <w:szCs w:val="22"/>
          <w:lang w:eastAsia="fr-FR"/>
        </w:rPr>
        <w:t>charge</w:t>
      </w:r>
      <w:r w:rsidRPr="00DA0B34">
        <w:rPr>
          <w:rFonts w:ascii="Arial" w:eastAsia="Times New Roman" w:hAnsi="Arial" w:cs="Arial"/>
          <w:b/>
          <w:bCs/>
          <w:i/>
          <w:sz w:val="22"/>
          <w:szCs w:val="22"/>
          <w:lang w:eastAsia="fr-FR"/>
        </w:rPr>
        <w:t xml:space="preserve"> le centre de gestion de la fonction publique territoriale de l’Isère de négocier un contrat cadre d’action sociale mutualisé ouvert à l’adhésion facultative des agents, auprès d’une mutuelle, d’une institution de prévoyance ou d’une entreprise d’assurance agréée et de se réserver la faculté d’y adhérer.</w:t>
      </w: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r w:rsidRPr="00DA0B34">
        <w:rPr>
          <w:rFonts w:ascii="Arial" w:eastAsia="Times New Roman" w:hAnsi="Arial" w:cs="Arial"/>
          <w:b/>
          <w:bCs/>
          <w:i/>
          <w:sz w:val="22"/>
          <w:szCs w:val="22"/>
          <w:lang w:eastAsia="fr-FR"/>
        </w:rPr>
        <w:t>Les caractéristiques précises du contrat cadre seront communiquées au terme de la procédure d’appel public à la concurrence engagée par le centre de gestion. La collectivité pourra alors décider de son adhésion et des modalités de cette dernière.</w:t>
      </w: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r w:rsidRPr="00DA0B34">
        <w:rPr>
          <w:rFonts w:ascii="Arial" w:eastAsia="Times New Roman" w:hAnsi="Arial" w:cs="Arial"/>
          <w:b/>
          <w:bCs/>
          <w:i/>
          <w:sz w:val="22"/>
          <w:szCs w:val="22"/>
          <w:lang w:eastAsia="fr-FR"/>
        </w:rPr>
        <w:t xml:space="preserve">Les contrats couvriront les domaines de la complémentaire santé et de la garantie maintien de salaire. </w:t>
      </w: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r w:rsidRPr="00DA0B34">
        <w:rPr>
          <w:rFonts w:ascii="Arial" w:eastAsia="Times New Roman" w:hAnsi="Arial" w:cs="Arial"/>
          <w:b/>
          <w:bCs/>
          <w:i/>
          <w:sz w:val="22"/>
          <w:szCs w:val="22"/>
          <w:lang w:eastAsia="fr-FR"/>
        </w:rPr>
        <w:t>Les agents de la commune peuvent adhérer à tout ou partie des lots auxquels a adhéré la commune.</w:t>
      </w: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r w:rsidRPr="00DA0B34">
        <w:rPr>
          <w:rFonts w:ascii="Arial" w:eastAsia="Times New Roman" w:hAnsi="Arial" w:cs="Arial"/>
          <w:b/>
          <w:bCs/>
          <w:i/>
          <w:sz w:val="22"/>
          <w:szCs w:val="22"/>
          <w:lang w:eastAsia="fr-FR"/>
        </w:rPr>
        <w:t>La durée du contrat s’élève à 6 ans, à effet du 1</w:t>
      </w:r>
      <w:r w:rsidRPr="00DA0B34">
        <w:rPr>
          <w:rFonts w:ascii="Arial" w:eastAsia="Times New Roman" w:hAnsi="Arial" w:cs="Arial"/>
          <w:b/>
          <w:bCs/>
          <w:i/>
          <w:sz w:val="22"/>
          <w:szCs w:val="22"/>
          <w:vertAlign w:val="superscript"/>
          <w:lang w:eastAsia="fr-FR"/>
        </w:rPr>
        <w:t>er</w:t>
      </w:r>
      <w:r w:rsidRPr="00DA0B34">
        <w:rPr>
          <w:rFonts w:ascii="Arial" w:eastAsia="Times New Roman" w:hAnsi="Arial" w:cs="Arial"/>
          <w:b/>
          <w:bCs/>
          <w:i/>
          <w:sz w:val="22"/>
          <w:szCs w:val="22"/>
          <w:lang w:eastAsia="fr-FR"/>
        </w:rPr>
        <w:t xml:space="preserve"> janvier 2020. Sa prorogation est possible pour des motifs d’intérêt général, pour une durée ne pouvant excéder un an.</w:t>
      </w: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p>
    <w:p w:rsidR="00DA0B34" w:rsidRPr="00DA0B34" w:rsidRDefault="00DA0B34" w:rsidP="00DA0B34">
      <w:pPr>
        <w:spacing w:after="0" w:line="240" w:lineRule="auto"/>
        <w:ind w:right="1"/>
        <w:jc w:val="both"/>
        <w:rPr>
          <w:rFonts w:ascii="Arial" w:eastAsia="Times New Roman" w:hAnsi="Arial" w:cs="Arial"/>
          <w:b/>
          <w:bCs/>
          <w:i/>
          <w:sz w:val="22"/>
          <w:szCs w:val="22"/>
          <w:lang w:eastAsia="fr-FR"/>
        </w:rPr>
      </w:pPr>
      <w:r w:rsidRPr="00DA0B34">
        <w:rPr>
          <w:rFonts w:ascii="Arial" w:eastAsia="Times New Roman" w:hAnsi="Arial" w:cs="Arial"/>
          <w:b/>
          <w:bCs/>
          <w:i/>
          <w:sz w:val="22"/>
          <w:szCs w:val="22"/>
          <w:lang w:eastAsia="fr-FR"/>
        </w:rPr>
        <w:t>- autorise le Maire à signer, au nom et pour le compte de la commune, toutes pièces de nature administrative, technique ou financière nécessaires à l’exécution de la présente délibération.</w:t>
      </w:r>
    </w:p>
    <w:p w:rsidR="00890F1A" w:rsidRDefault="00890F1A" w:rsidP="00890F1A">
      <w:pPr>
        <w:spacing w:after="0" w:line="240" w:lineRule="auto"/>
        <w:jc w:val="both"/>
        <w:rPr>
          <w:rFonts w:ascii="Arial" w:eastAsia="Times New Roman" w:hAnsi="Arial" w:cs="Arial"/>
          <w:sz w:val="22"/>
          <w:szCs w:val="22"/>
          <w:lang w:eastAsia="fr-FR"/>
        </w:rPr>
      </w:pPr>
    </w:p>
    <w:p w:rsidR="00E83FF4" w:rsidRDefault="00E83FF4" w:rsidP="003E2566">
      <w:pPr>
        <w:spacing w:after="0" w:line="259" w:lineRule="auto"/>
        <w:jc w:val="both"/>
        <w:rPr>
          <w:rFonts w:ascii="Arial" w:eastAsia="Calibri" w:hAnsi="Arial" w:cs="Arial"/>
        </w:rPr>
      </w:pPr>
    </w:p>
    <w:p w:rsidR="002B6D9D" w:rsidRPr="002B6D9D" w:rsidRDefault="002B6D9D" w:rsidP="003E2566">
      <w:pPr>
        <w:spacing w:after="0" w:line="259" w:lineRule="auto"/>
        <w:jc w:val="both"/>
        <w:rPr>
          <w:rFonts w:ascii="Arial" w:eastAsia="Calibri" w:hAnsi="Arial" w:cs="Arial"/>
        </w:rPr>
      </w:pPr>
      <w:r w:rsidRPr="002B6D9D">
        <w:rPr>
          <w:rFonts w:ascii="Arial" w:eastAsia="Calibri" w:hAnsi="Arial" w:cs="Arial"/>
        </w:rPr>
        <w:t xml:space="preserve">La séance et levée à </w:t>
      </w:r>
      <w:r w:rsidR="00183E2D">
        <w:rPr>
          <w:rFonts w:ascii="Arial" w:eastAsia="Calibri" w:hAnsi="Arial" w:cs="Arial"/>
        </w:rPr>
        <w:t>20 h 45</w:t>
      </w:r>
      <w:r w:rsidR="00A06FA0">
        <w:rPr>
          <w:rFonts w:ascii="Arial" w:eastAsia="Calibri" w:hAnsi="Arial" w:cs="Arial"/>
        </w:rPr>
        <w:t>.</w:t>
      </w:r>
    </w:p>
    <w:sectPr w:rsidR="002B6D9D" w:rsidRPr="002B6D9D" w:rsidSect="00DE7001">
      <w:footerReference w:type="default" r:id="rId21"/>
      <w:pgSz w:w="11906" w:h="16838"/>
      <w:pgMar w:top="56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A92" w:rsidRDefault="00B72A92" w:rsidP="00B00BED">
      <w:pPr>
        <w:spacing w:after="0" w:line="240" w:lineRule="auto"/>
      </w:pPr>
      <w:r>
        <w:separator/>
      </w:r>
    </w:p>
  </w:endnote>
  <w:endnote w:type="continuationSeparator" w:id="0">
    <w:p w:rsidR="00B72A92" w:rsidRDefault="00B72A92" w:rsidP="00B00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470745"/>
      <w:docPartObj>
        <w:docPartGallery w:val="Page Numbers (Bottom of Page)"/>
        <w:docPartUnique/>
      </w:docPartObj>
    </w:sdtPr>
    <w:sdtEndPr/>
    <w:sdtContent>
      <w:p w:rsidR="001960F6" w:rsidRDefault="001960F6">
        <w:pPr>
          <w:pStyle w:val="Pieddepage"/>
          <w:jc w:val="center"/>
        </w:pPr>
        <w:r>
          <w:fldChar w:fldCharType="begin"/>
        </w:r>
        <w:r>
          <w:instrText>PAGE   \* MERGEFORMAT</w:instrText>
        </w:r>
        <w:r>
          <w:fldChar w:fldCharType="separate"/>
        </w:r>
        <w:r w:rsidR="00660323">
          <w:rPr>
            <w:noProof/>
          </w:rPr>
          <w:t>23</w:t>
        </w:r>
        <w:r>
          <w:fldChar w:fldCharType="end"/>
        </w:r>
      </w:p>
    </w:sdtContent>
  </w:sdt>
  <w:p w:rsidR="001960F6" w:rsidRDefault="001960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A92" w:rsidRDefault="00B72A92" w:rsidP="00B00BED">
      <w:pPr>
        <w:spacing w:after="0" w:line="240" w:lineRule="auto"/>
      </w:pPr>
      <w:r>
        <w:separator/>
      </w:r>
    </w:p>
  </w:footnote>
  <w:footnote w:type="continuationSeparator" w:id="0">
    <w:p w:rsidR="00B72A92" w:rsidRDefault="00B72A92" w:rsidP="00B00B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6A00A3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45C4766"/>
    <w:multiLevelType w:val="hybridMultilevel"/>
    <w:tmpl w:val="564E6AEE"/>
    <w:lvl w:ilvl="0" w:tplc="66CE807A">
      <w:start w:val="67"/>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E9E"/>
    <w:multiLevelType w:val="hybridMultilevel"/>
    <w:tmpl w:val="9888144C"/>
    <w:lvl w:ilvl="0" w:tplc="C090EDA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CA2F5A"/>
    <w:multiLevelType w:val="hybridMultilevel"/>
    <w:tmpl w:val="4D400D88"/>
    <w:lvl w:ilvl="0" w:tplc="75942FBA">
      <w:start w:val="6"/>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42A3A88"/>
    <w:multiLevelType w:val="hybridMultilevel"/>
    <w:tmpl w:val="5F18A072"/>
    <w:lvl w:ilvl="0" w:tplc="EDB829C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18D70B4"/>
    <w:multiLevelType w:val="hybridMultilevel"/>
    <w:tmpl w:val="E208E2A2"/>
    <w:lvl w:ilvl="0" w:tplc="ED58D6B4">
      <w:start w:val="1"/>
      <w:numFmt w:val="decimal"/>
      <w:lvlText w:val="%1."/>
      <w:lvlJc w:val="left"/>
      <w:pPr>
        <w:ind w:left="1440" w:hanging="360"/>
      </w:pPr>
      <w:rPr>
        <w:b/>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78E9463D"/>
    <w:multiLevelType w:val="multilevel"/>
    <w:tmpl w:val="98241F70"/>
    <w:styleLink w:val="WWNum2"/>
    <w:lvl w:ilvl="0">
      <w:numFmt w:val="bullet"/>
      <w:lvlText w:val=""/>
      <w:lvlJc w:val="left"/>
      <w:pPr>
        <w:ind w:left="1776" w:hanging="360"/>
      </w:pPr>
      <w:rPr>
        <w:rFonts w:ascii="Symbol" w:hAnsi="Symbol" w:cs="Symbol"/>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cs="Wingdings"/>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cs="Wingdings"/>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cs="Wingdings"/>
      </w:r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5CC"/>
    <w:rsid w:val="0000147C"/>
    <w:rsid w:val="00002605"/>
    <w:rsid w:val="0000735C"/>
    <w:rsid w:val="00011DB7"/>
    <w:rsid w:val="000123B6"/>
    <w:rsid w:val="000153B3"/>
    <w:rsid w:val="000155BA"/>
    <w:rsid w:val="000164BE"/>
    <w:rsid w:val="0001701D"/>
    <w:rsid w:val="000205DE"/>
    <w:rsid w:val="0002168C"/>
    <w:rsid w:val="00022DA2"/>
    <w:rsid w:val="0002390D"/>
    <w:rsid w:val="0002631D"/>
    <w:rsid w:val="000276EA"/>
    <w:rsid w:val="000306B6"/>
    <w:rsid w:val="00030B5F"/>
    <w:rsid w:val="00033C55"/>
    <w:rsid w:val="00034C9B"/>
    <w:rsid w:val="00040613"/>
    <w:rsid w:val="00042EA3"/>
    <w:rsid w:val="000450D8"/>
    <w:rsid w:val="0004731F"/>
    <w:rsid w:val="000538D7"/>
    <w:rsid w:val="000552AE"/>
    <w:rsid w:val="00057E80"/>
    <w:rsid w:val="000607E4"/>
    <w:rsid w:val="0006132D"/>
    <w:rsid w:val="000618AA"/>
    <w:rsid w:val="00061DC3"/>
    <w:rsid w:val="0007560F"/>
    <w:rsid w:val="0007680E"/>
    <w:rsid w:val="00076B3A"/>
    <w:rsid w:val="0007763F"/>
    <w:rsid w:val="00084924"/>
    <w:rsid w:val="00085FC1"/>
    <w:rsid w:val="0009073C"/>
    <w:rsid w:val="00093F74"/>
    <w:rsid w:val="00094152"/>
    <w:rsid w:val="00096446"/>
    <w:rsid w:val="000A3AB1"/>
    <w:rsid w:val="000A43C1"/>
    <w:rsid w:val="000A48F9"/>
    <w:rsid w:val="000B2EF4"/>
    <w:rsid w:val="000B31C0"/>
    <w:rsid w:val="000B48DA"/>
    <w:rsid w:val="000B558B"/>
    <w:rsid w:val="000C00E5"/>
    <w:rsid w:val="000C1736"/>
    <w:rsid w:val="000C425A"/>
    <w:rsid w:val="000C7228"/>
    <w:rsid w:val="000C766B"/>
    <w:rsid w:val="000D17DB"/>
    <w:rsid w:val="000D2A21"/>
    <w:rsid w:val="000D3852"/>
    <w:rsid w:val="000D4474"/>
    <w:rsid w:val="000D55E0"/>
    <w:rsid w:val="000D59E9"/>
    <w:rsid w:val="000D67E1"/>
    <w:rsid w:val="000D7389"/>
    <w:rsid w:val="000E1E66"/>
    <w:rsid w:val="000E448F"/>
    <w:rsid w:val="000E4D28"/>
    <w:rsid w:val="000E5429"/>
    <w:rsid w:val="000E59EA"/>
    <w:rsid w:val="000E644E"/>
    <w:rsid w:val="000E6E05"/>
    <w:rsid w:val="000F171C"/>
    <w:rsid w:val="000F2A00"/>
    <w:rsid w:val="000F5D90"/>
    <w:rsid w:val="000F5FC5"/>
    <w:rsid w:val="000F7C39"/>
    <w:rsid w:val="00102C3F"/>
    <w:rsid w:val="00104D65"/>
    <w:rsid w:val="00106B1D"/>
    <w:rsid w:val="00106D96"/>
    <w:rsid w:val="001076A2"/>
    <w:rsid w:val="00107A1A"/>
    <w:rsid w:val="0011131F"/>
    <w:rsid w:val="001170FE"/>
    <w:rsid w:val="00120D74"/>
    <w:rsid w:val="001216AD"/>
    <w:rsid w:val="001242CA"/>
    <w:rsid w:val="0012453C"/>
    <w:rsid w:val="00126EC8"/>
    <w:rsid w:val="00127FA3"/>
    <w:rsid w:val="00130050"/>
    <w:rsid w:val="001307B7"/>
    <w:rsid w:val="00135749"/>
    <w:rsid w:val="00136920"/>
    <w:rsid w:val="0013777F"/>
    <w:rsid w:val="001416C6"/>
    <w:rsid w:val="001436C0"/>
    <w:rsid w:val="00146AC3"/>
    <w:rsid w:val="00150D08"/>
    <w:rsid w:val="00152C68"/>
    <w:rsid w:val="0015399E"/>
    <w:rsid w:val="0015471A"/>
    <w:rsid w:val="00161494"/>
    <w:rsid w:val="00162845"/>
    <w:rsid w:val="0016561D"/>
    <w:rsid w:val="00167C7E"/>
    <w:rsid w:val="00167D87"/>
    <w:rsid w:val="001719EE"/>
    <w:rsid w:val="00172F91"/>
    <w:rsid w:val="00174B08"/>
    <w:rsid w:val="001751A3"/>
    <w:rsid w:val="00175620"/>
    <w:rsid w:val="001765FC"/>
    <w:rsid w:val="00177232"/>
    <w:rsid w:val="00181AB9"/>
    <w:rsid w:val="00183E2D"/>
    <w:rsid w:val="00184F75"/>
    <w:rsid w:val="00185540"/>
    <w:rsid w:val="00185623"/>
    <w:rsid w:val="00186F3E"/>
    <w:rsid w:val="0019141D"/>
    <w:rsid w:val="00192E09"/>
    <w:rsid w:val="00193FFC"/>
    <w:rsid w:val="001960F6"/>
    <w:rsid w:val="00197DE6"/>
    <w:rsid w:val="00197EBC"/>
    <w:rsid w:val="001A0E80"/>
    <w:rsid w:val="001A275E"/>
    <w:rsid w:val="001A4226"/>
    <w:rsid w:val="001A5F19"/>
    <w:rsid w:val="001A622C"/>
    <w:rsid w:val="001A6F9E"/>
    <w:rsid w:val="001B0F2F"/>
    <w:rsid w:val="001B1DAF"/>
    <w:rsid w:val="001B2AC4"/>
    <w:rsid w:val="001B3221"/>
    <w:rsid w:val="001B6176"/>
    <w:rsid w:val="001B621E"/>
    <w:rsid w:val="001B6C13"/>
    <w:rsid w:val="001C27DA"/>
    <w:rsid w:val="001C46B8"/>
    <w:rsid w:val="001C4F84"/>
    <w:rsid w:val="001C7E3D"/>
    <w:rsid w:val="001D105F"/>
    <w:rsid w:val="001D4922"/>
    <w:rsid w:val="001D5A9B"/>
    <w:rsid w:val="001D703E"/>
    <w:rsid w:val="001D732C"/>
    <w:rsid w:val="001E05C8"/>
    <w:rsid w:val="001E231A"/>
    <w:rsid w:val="001E2D1F"/>
    <w:rsid w:val="001E4835"/>
    <w:rsid w:val="001E4F88"/>
    <w:rsid w:val="001E7DB4"/>
    <w:rsid w:val="001F0282"/>
    <w:rsid w:val="001F0CAA"/>
    <w:rsid w:val="00200D31"/>
    <w:rsid w:val="00202EA4"/>
    <w:rsid w:val="002035B7"/>
    <w:rsid w:val="0021322B"/>
    <w:rsid w:val="002133CB"/>
    <w:rsid w:val="00213405"/>
    <w:rsid w:val="00213CA2"/>
    <w:rsid w:val="00214C9F"/>
    <w:rsid w:val="00215A7D"/>
    <w:rsid w:val="002178D5"/>
    <w:rsid w:val="0022161C"/>
    <w:rsid w:val="002217AC"/>
    <w:rsid w:val="00221D1B"/>
    <w:rsid w:val="002244DD"/>
    <w:rsid w:val="002256CA"/>
    <w:rsid w:val="002302FA"/>
    <w:rsid w:val="002320ED"/>
    <w:rsid w:val="00235121"/>
    <w:rsid w:val="00235E8F"/>
    <w:rsid w:val="0023641D"/>
    <w:rsid w:val="00240719"/>
    <w:rsid w:val="0024447F"/>
    <w:rsid w:val="002445E4"/>
    <w:rsid w:val="00244CE0"/>
    <w:rsid w:val="002539CB"/>
    <w:rsid w:val="00256DE1"/>
    <w:rsid w:val="002577C4"/>
    <w:rsid w:val="0026101E"/>
    <w:rsid w:val="002618B4"/>
    <w:rsid w:val="00264901"/>
    <w:rsid w:val="0026717C"/>
    <w:rsid w:val="00267534"/>
    <w:rsid w:val="00267948"/>
    <w:rsid w:val="00267E94"/>
    <w:rsid w:val="00270CF8"/>
    <w:rsid w:val="0027130F"/>
    <w:rsid w:val="0027306F"/>
    <w:rsid w:val="00273725"/>
    <w:rsid w:val="00275776"/>
    <w:rsid w:val="002771DF"/>
    <w:rsid w:val="00280AFC"/>
    <w:rsid w:val="0028149B"/>
    <w:rsid w:val="00285484"/>
    <w:rsid w:val="0028673B"/>
    <w:rsid w:val="00291165"/>
    <w:rsid w:val="00293CE9"/>
    <w:rsid w:val="00296DE6"/>
    <w:rsid w:val="00297903"/>
    <w:rsid w:val="00297C7F"/>
    <w:rsid w:val="002A6789"/>
    <w:rsid w:val="002A686A"/>
    <w:rsid w:val="002B1B07"/>
    <w:rsid w:val="002B240E"/>
    <w:rsid w:val="002B4AE1"/>
    <w:rsid w:val="002B4B17"/>
    <w:rsid w:val="002B5D29"/>
    <w:rsid w:val="002B6053"/>
    <w:rsid w:val="002B6D9D"/>
    <w:rsid w:val="002B756F"/>
    <w:rsid w:val="002B785B"/>
    <w:rsid w:val="002C307D"/>
    <w:rsid w:val="002C6CAA"/>
    <w:rsid w:val="002D2E19"/>
    <w:rsid w:val="002D355C"/>
    <w:rsid w:val="002D474D"/>
    <w:rsid w:val="002D581C"/>
    <w:rsid w:val="002D5EBF"/>
    <w:rsid w:val="002D694A"/>
    <w:rsid w:val="002D709A"/>
    <w:rsid w:val="002D7115"/>
    <w:rsid w:val="002D7636"/>
    <w:rsid w:val="002E0032"/>
    <w:rsid w:val="002E08CA"/>
    <w:rsid w:val="002E2446"/>
    <w:rsid w:val="002E3CFF"/>
    <w:rsid w:val="002E5CFD"/>
    <w:rsid w:val="002F5756"/>
    <w:rsid w:val="002F7F7F"/>
    <w:rsid w:val="00302D7E"/>
    <w:rsid w:val="0030343D"/>
    <w:rsid w:val="00306BA6"/>
    <w:rsid w:val="0030746A"/>
    <w:rsid w:val="00307F72"/>
    <w:rsid w:val="00307FA1"/>
    <w:rsid w:val="0031032F"/>
    <w:rsid w:val="00311971"/>
    <w:rsid w:val="00311EC8"/>
    <w:rsid w:val="003123CB"/>
    <w:rsid w:val="0031674D"/>
    <w:rsid w:val="00316E16"/>
    <w:rsid w:val="003176B0"/>
    <w:rsid w:val="00321456"/>
    <w:rsid w:val="003227D6"/>
    <w:rsid w:val="00322EC6"/>
    <w:rsid w:val="00326589"/>
    <w:rsid w:val="003267F2"/>
    <w:rsid w:val="00334372"/>
    <w:rsid w:val="00334A2B"/>
    <w:rsid w:val="00335AD7"/>
    <w:rsid w:val="003433D3"/>
    <w:rsid w:val="00344140"/>
    <w:rsid w:val="003441F5"/>
    <w:rsid w:val="0034420D"/>
    <w:rsid w:val="00344359"/>
    <w:rsid w:val="0034443C"/>
    <w:rsid w:val="0034645A"/>
    <w:rsid w:val="00346E72"/>
    <w:rsid w:val="00355E98"/>
    <w:rsid w:val="00360AC5"/>
    <w:rsid w:val="00361727"/>
    <w:rsid w:val="00361851"/>
    <w:rsid w:val="0036254F"/>
    <w:rsid w:val="00362C1C"/>
    <w:rsid w:val="00363444"/>
    <w:rsid w:val="003636C8"/>
    <w:rsid w:val="00365025"/>
    <w:rsid w:val="00365C59"/>
    <w:rsid w:val="00365EEB"/>
    <w:rsid w:val="003666C6"/>
    <w:rsid w:val="00366E7E"/>
    <w:rsid w:val="00367D7F"/>
    <w:rsid w:val="00370293"/>
    <w:rsid w:val="00375840"/>
    <w:rsid w:val="00376188"/>
    <w:rsid w:val="00376AC3"/>
    <w:rsid w:val="00381CD6"/>
    <w:rsid w:val="00382378"/>
    <w:rsid w:val="00383384"/>
    <w:rsid w:val="00384599"/>
    <w:rsid w:val="003858D1"/>
    <w:rsid w:val="003864CB"/>
    <w:rsid w:val="003867D2"/>
    <w:rsid w:val="00387F39"/>
    <w:rsid w:val="003900C2"/>
    <w:rsid w:val="00392745"/>
    <w:rsid w:val="00393B4A"/>
    <w:rsid w:val="0039585A"/>
    <w:rsid w:val="003A0E9F"/>
    <w:rsid w:val="003A40A0"/>
    <w:rsid w:val="003A41BB"/>
    <w:rsid w:val="003A42B6"/>
    <w:rsid w:val="003B2B30"/>
    <w:rsid w:val="003B2BFB"/>
    <w:rsid w:val="003B48C1"/>
    <w:rsid w:val="003B74C8"/>
    <w:rsid w:val="003C217C"/>
    <w:rsid w:val="003C30BB"/>
    <w:rsid w:val="003C33F3"/>
    <w:rsid w:val="003C382C"/>
    <w:rsid w:val="003C626D"/>
    <w:rsid w:val="003D1E4B"/>
    <w:rsid w:val="003D2CD0"/>
    <w:rsid w:val="003D4CE3"/>
    <w:rsid w:val="003D4D04"/>
    <w:rsid w:val="003D52FC"/>
    <w:rsid w:val="003D6965"/>
    <w:rsid w:val="003D71CA"/>
    <w:rsid w:val="003D784E"/>
    <w:rsid w:val="003E0767"/>
    <w:rsid w:val="003E2566"/>
    <w:rsid w:val="003E29D8"/>
    <w:rsid w:val="003E3997"/>
    <w:rsid w:val="003F0ACD"/>
    <w:rsid w:val="003F4A25"/>
    <w:rsid w:val="003F7417"/>
    <w:rsid w:val="003F7712"/>
    <w:rsid w:val="004027D0"/>
    <w:rsid w:val="00402DD9"/>
    <w:rsid w:val="00404D2F"/>
    <w:rsid w:val="0040509B"/>
    <w:rsid w:val="004050D9"/>
    <w:rsid w:val="00413E53"/>
    <w:rsid w:val="0041585C"/>
    <w:rsid w:val="00423FC7"/>
    <w:rsid w:val="00423FFF"/>
    <w:rsid w:val="00427E83"/>
    <w:rsid w:val="00430B04"/>
    <w:rsid w:val="00431E61"/>
    <w:rsid w:val="00431EB6"/>
    <w:rsid w:val="004326ED"/>
    <w:rsid w:val="004329DB"/>
    <w:rsid w:val="00434CB1"/>
    <w:rsid w:val="004432AC"/>
    <w:rsid w:val="00443A73"/>
    <w:rsid w:val="00443B73"/>
    <w:rsid w:val="0045165D"/>
    <w:rsid w:val="004528DB"/>
    <w:rsid w:val="004543B5"/>
    <w:rsid w:val="004544DA"/>
    <w:rsid w:val="00456B4E"/>
    <w:rsid w:val="00456B77"/>
    <w:rsid w:val="00456C26"/>
    <w:rsid w:val="0045715D"/>
    <w:rsid w:val="0045718A"/>
    <w:rsid w:val="0046176D"/>
    <w:rsid w:val="00462F31"/>
    <w:rsid w:val="00463A3F"/>
    <w:rsid w:val="004645D9"/>
    <w:rsid w:val="00466C4E"/>
    <w:rsid w:val="0046785D"/>
    <w:rsid w:val="00467E6B"/>
    <w:rsid w:val="0047072E"/>
    <w:rsid w:val="0047384F"/>
    <w:rsid w:val="00474E2A"/>
    <w:rsid w:val="00474F08"/>
    <w:rsid w:val="00477A6A"/>
    <w:rsid w:val="0048047B"/>
    <w:rsid w:val="00482AFB"/>
    <w:rsid w:val="00483973"/>
    <w:rsid w:val="004842C7"/>
    <w:rsid w:val="00484EAC"/>
    <w:rsid w:val="00484F69"/>
    <w:rsid w:val="0048573F"/>
    <w:rsid w:val="00487710"/>
    <w:rsid w:val="00487FAF"/>
    <w:rsid w:val="00490A99"/>
    <w:rsid w:val="0049597F"/>
    <w:rsid w:val="00497683"/>
    <w:rsid w:val="0049799B"/>
    <w:rsid w:val="00497D93"/>
    <w:rsid w:val="004A0F71"/>
    <w:rsid w:val="004A5BE2"/>
    <w:rsid w:val="004B49F5"/>
    <w:rsid w:val="004B5D72"/>
    <w:rsid w:val="004B64AF"/>
    <w:rsid w:val="004C04C4"/>
    <w:rsid w:val="004C1F75"/>
    <w:rsid w:val="004C28E0"/>
    <w:rsid w:val="004C4C88"/>
    <w:rsid w:val="004C4FFD"/>
    <w:rsid w:val="004D2ED1"/>
    <w:rsid w:val="004D5E4D"/>
    <w:rsid w:val="004D5FBD"/>
    <w:rsid w:val="004D706D"/>
    <w:rsid w:val="004E16BC"/>
    <w:rsid w:val="004E21AE"/>
    <w:rsid w:val="004E35DE"/>
    <w:rsid w:val="004E3A52"/>
    <w:rsid w:val="004E4CFF"/>
    <w:rsid w:val="004E4FBA"/>
    <w:rsid w:val="004E52EC"/>
    <w:rsid w:val="004E5EE7"/>
    <w:rsid w:val="004E5FBE"/>
    <w:rsid w:val="004E7316"/>
    <w:rsid w:val="004F10F2"/>
    <w:rsid w:val="004F3163"/>
    <w:rsid w:val="004F63ED"/>
    <w:rsid w:val="004F7342"/>
    <w:rsid w:val="00500ACC"/>
    <w:rsid w:val="0050303D"/>
    <w:rsid w:val="00503291"/>
    <w:rsid w:val="005045FE"/>
    <w:rsid w:val="00512899"/>
    <w:rsid w:val="00517324"/>
    <w:rsid w:val="005179BB"/>
    <w:rsid w:val="005208CF"/>
    <w:rsid w:val="00521296"/>
    <w:rsid w:val="00523997"/>
    <w:rsid w:val="005251F8"/>
    <w:rsid w:val="0052782D"/>
    <w:rsid w:val="005318BE"/>
    <w:rsid w:val="00531A44"/>
    <w:rsid w:val="00532B26"/>
    <w:rsid w:val="00536141"/>
    <w:rsid w:val="00537259"/>
    <w:rsid w:val="005400C9"/>
    <w:rsid w:val="005405ED"/>
    <w:rsid w:val="005436D7"/>
    <w:rsid w:val="00544E74"/>
    <w:rsid w:val="005473A9"/>
    <w:rsid w:val="00551C27"/>
    <w:rsid w:val="0055778F"/>
    <w:rsid w:val="00564790"/>
    <w:rsid w:val="00564CAA"/>
    <w:rsid w:val="00573E21"/>
    <w:rsid w:val="005752B2"/>
    <w:rsid w:val="00576105"/>
    <w:rsid w:val="00576FF8"/>
    <w:rsid w:val="005809F2"/>
    <w:rsid w:val="00580BFD"/>
    <w:rsid w:val="00580F8A"/>
    <w:rsid w:val="00583B98"/>
    <w:rsid w:val="005847F0"/>
    <w:rsid w:val="00586006"/>
    <w:rsid w:val="00590734"/>
    <w:rsid w:val="005911EC"/>
    <w:rsid w:val="0059393E"/>
    <w:rsid w:val="00594D0D"/>
    <w:rsid w:val="0059565D"/>
    <w:rsid w:val="005963BB"/>
    <w:rsid w:val="00596B5F"/>
    <w:rsid w:val="005A4333"/>
    <w:rsid w:val="005A4CAA"/>
    <w:rsid w:val="005A4ED2"/>
    <w:rsid w:val="005A5DF3"/>
    <w:rsid w:val="005A6CBB"/>
    <w:rsid w:val="005A70E3"/>
    <w:rsid w:val="005B1858"/>
    <w:rsid w:val="005B2070"/>
    <w:rsid w:val="005B2189"/>
    <w:rsid w:val="005B2767"/>
    <w:rsid w:val="005B31F5"/>
    <w:rsid w:val="005B4740"/>
    <w:rsid w:val="005B699E"/>
    <w:rsid w:val="005B71CF"/>
    <w:rsid w:val="005B7BFB"/>
    <w:rsid w:val="005B7F17"/>
    <w:rsid w:val="005C1F7F"/>
    <w:rsid w:val="005C2C2F"/>
    <w:rsid w:val="005C2EA6"/>
    <w:rsid w:val="005C4BEE"/>
    <w:rsid w:val="005C52DD"/>
    <w:rsid w:val="005C75ED"/>
    <w:rsid w:val="005D300A"/>
    <w:rsid w:val="005D673A"/>
    <w:rsid w:val="005E6405"/>
    <w:rsid w:val="005E642F"/>
    <w:rsid w:val="005F5C6C"/>
    <w:rsid w:val="005F783D"/>
    <w:rsid w:val="00602EDC"/>
    <w:rsid w:val="00603627"/>
    <w:rsid w:val="00605FD9"/>
    <w:rsid w:val="00607CFE"/>
    <w:rsid w:val="00611206"/>
    <w:rsid w:val="00612683"/>
    <w:rsid w:val="00613313"/>
    <w:rsid w:val="00613907"/>
    <w:rsid w:val="0061466B"/>
    <w:rsid w:val="0061485E"/>
    <w:rsid w:val="00615D5D"/>
    <w:rsid w:val="0062515D"/>
    <w:rsid w:val="006260FB"/>
    <w:rsid w:val="00627352"/>
    <w:rsid w:val="00632194"/>
    <w:rsid w:val="0063636A"/>
    <w:rsid w:val="00636995"/>
    <w:rsid w:val="00641291"/>
    <w:rsid w:val="006416F1"/>
    <w:rsid w:val="006422E0"/>
    <w:rsid w:val="006435CC"/>
    <w:rsid w:val="00643DB4"/>
    <w:rsid w:val="00644986"/>
    <w:rsid w:val="00646280"/>
    <w:rsid w:val="00646A23"/>
    <w:rsid w:val="00650434"/>
    <w:rsid w:val="006512B8"/>
    <w:rsid w:val="006513CC"/>
    <w:rsid w:val="00652121"/>
    <w:rsid w:val="00652AED"/>
    <w:rsid w:val="00653F8D"/>
    <w:rsid w:val="006544EC"/>
    <w:rsid w:val="006547A9"/>
    <w:rsid w:val="00657078"/>
    <w:rsid w:val="006571FF"/>
    <w:rsid w:val="00657516"/>
    <w:rsid w:val="00657B8E"/>
    <w:rsid w:val="00660323"/>
    <w:rsid w:val="006610AC"/>
    <w:rsid w:val="00662DB4"/>
    <w:rsid w:val="00666D45"/>
    <w:rsid w:val="00667A9E"/>
    <w:rsid w:val="00671A7E"/>
    <w:rsid w:val="00673D62"/>
    <w:rsid w:val="00675916"/>
    <w:rsid w:val="00676196"/>
    <w:rsid w:val="00677157"/>
    <w:rsid w:val="006805AF"/>
    <w:rsid w:val="0068078F"/>
    <w:rsid w:val="0068206B"/>
    <w:rsid w:val="00687773"/>
    <w:rsid w:val="00693200"/>
    <w:rsid w:val="0069431D"/>
    <w:rsid w:val="006951AA"/>
    <w:rsid w:val="006A130E"/>
    <w:rsid w:val="006A1806"/>
    <w:rsid w:val="006A1D3D"/>
    <w:rsid w:val="006A21B1"/>
    <w:rsid w:val="006A3576"/>
    <w:rsid w:val="006A5C22"/>
    <w:rsid w:val="006B006B"/>
    <w:rsid w:val="006B04A7"/>
    <w:rsid w:val="006B082A"/>
    <w:rsid w:val="006B6A6B"/>
    <w:rsid w:val="006B702B"/>
    <w:rsid w:val="006C091F"/>
    <w:rsid w:val="006C1604"/>
    <w:rsid w:val="006C465E"/>
    <w:rsid w:val="006D2418"/>
    <w:rsid w:val="006D2AA7"/>
    <w:rsid w:val="006D3D32"/>
    <w:rsid w:val="006D4056"/>
    <w:rsid w:val="006D4444"/>
    <w:rsid w:val="006D53A6"/>
    <w:rsid w:val="006D66EC"/>
    <w:rsid w:val="006D7E5F"/>
    <w:rsid w:val="006E241D"/>
    <w:rsid w:val="006E4A8A"/>
    <w:rsid w:val="006E5635"/>
    <w:rsid w:val="006F0C56"/>
    <w:rsid w:val="006F3FFD"/>
    <w:rsid w:val="006F48A8"/>
    <w:rsid w:val="006F4D0B"/>
    <w:rsid w:val="006F61B0"/>
    <w:rsid w:val="006F6988"/>
    <w:rsid w:val="006F6D5C"/>
    <w:rsid w:val="00706446"/>
    <w:rsid w:val="00706668"/>
    <w:rsid w:val="00707FDD"/>
    <w:rsid w:val="0071532E"/>
    <w:rsid w:val="00716734"/>
    <w:rsid w:val="00721FE3"/>
    <w:rsid w:val="007220A2"/>
    <w:rsid w:val="00726B32"/>
    <w:rsid w:val="00730536"/>
    <w:rsid w:val="00731122"/>
    <w:rsid w:val="00733765"/>
    <w:rsid w:val="00735764"/>
    <w:rsid w:val="00736639"/>
    <w:rsid w:val="00741B6D"/>
    <w:rsid w:val="0074229D"/>
    <w:rsid w:val="0074264A"/>
    <w:rsid w:val="007426DD"/>
    <w:rsid w:val="007470C5"/>
    <w:rsid w:val="00752E56"/>
    <w:rsid w:val="007535E4"/>
    <w:rsid w:val="00754927"/>
    <w:rsid w:val="00755E4D"/>
    <w:rsid w:val="00757C1E"/>
    <w:rsid w:val="00757E76"/>
    <w:rsid w:val="0076186C"/>
    <w:rsid w:val="00762D45"/>
    <w:rsid w:val="00764781"/>
    <w:rsid w:val="007650E1"/>
    <w:rsid w:val="0076610A"/>
    <w:rsid w:val="00771062"/>
    <w:rsid w:val="007713D2"/>
    <w:rsid w:val="00771F33"/>
    <w:rsid w:val="007730AF"/>
    <w:rsid w:val="00773111"/>
    <w:rsid w:val="00774534"/>
    <w:rsid w:val="00775676"/>
    <w:rsid w:val="00777914"/>
    <w:rsid w:val="007823FE"/>
    <w:rsid w:val="00782A7E"/>
    <w:rsid w:val="00782FB9"/>
    <w:rsid w:val="0078426B"/>
    <w:rsid w:val="00784562"/>
    <w:rsid w:val="007852DD"/>
    <w:rsid w:val="00785BED"/>
    <w:rsid w:val="0079085D"/>
    <w:rsid w:val="00791CA5"/>
    <w:rsid w:val="00792CB3"/>
    <w:rsid w:val="00794778"/>
    <w:rsid w:val="00794CCF"/>
    <w:rsid w:val="007976E8"/>
    <w:rsid w:val="007A0310"/>
    <w:rsid w:val="007A1064"/>
    <w:rsid w:val="007A29C5"/>
    <w:rsid w:val="007A343D"/>
    <w:rsid w:val="007A3F76"/>
    <w:rsid w:val="007A47F6"/>
    <w:rsid w:val="007A5CD4"/>
    <w:rsid w:val="007A6F07"/>
    <w:rsid w:val="007A73B2"/>
    <w:rsid w:val="007A7FB3"/>
    <w:rsid w:val="007B3A3D"/>
    <w:rsid w:val="007B4305"/>
    <w:rsid w:val="007B44E2"/>
    <w:rsid w:val="007B6436"/>
    <w:rsid w:val="007B6EFF"/>
    <w:rsid w:val="007B7075"/>
    <w:rsid w:val="007B7487"/>
    <w:rsid w:val="007C02DA"/>
    <w:rsid w:val="007C2143"/>
    <w:rsid w:val="007C4142"/>
    <w:rsid w:val="007C420A"/>
    <w:rsid w:val="007C424A"/>
    <w:rsid w:val="007C589A"/>
    <w:rsid w:val="007C6051"/>
    <w:rsid w:val="007C612F"/>
    <w:rsid w:val="007E601D"/>
    <w:rsid w:val="007F173F"/>
    <w:rsid w:val="007F36A0"/>
    <w:rsid w:val="007F4136"/>
    <w:rsid w:val="007F5361"/>
    <w:rsid w:val="007F6A80"/>
    <w:rsid w:val="0081123C"/>
    <w:rsid w:val="008158D5"/>
    <w:rsid w:val="00821941"/>
    <w:rsid w:val="00823712"/>
    <w:rsid w:val="008248C6"/>
    <w:rsid w:val="0082630E"/>
    <w:rsid w:val="00833430"/>
    <w:rsid w:val="00833C9D"/>
    <w:rsid w:val="008367D4"/>
    <w:rsid w:val="008404BE"/>
    <w:rsid w:val="00840BAC"/>
    <w:rsid w:val="0084223E"/>
    <w:rsid w:val="00842935"/>
    <w:rsid w:val="00842E47"/>
    <w:rsid w:val="00850E92"/>
    <w:rsid w:val="008519B9"/>
    <w:rsid w:val="00853DA8"/>
    <w:rsid w:val="0085402F"/>
    <w:rsid w:val="0085518F"/>
    <w:rsid w:val="00857625"/>
    <w:rsid w:val="00860AE2"/>
    <w:rsid w:val="00861039"/>
    <w:rsid w:val="0086393B"/>
    <w:rsid w:val="00866335"/>
    <w:rsid w:val="008669D6"/>
    <w:rsid w:val="008673D1"/>
    <w:rsid w:val="008674DB"/>
    <w:rsid w:val="00867D2B"/>
    <w:rsid w:val="008713D0"/>
    <w:rsid w:val="008728BE"/>
    <w:rsid w:val="00872C3A"/>
    <w:rsid w:val="00872DE7"/>
    <w:rsid w:val="008753DF"/>
    <w:rsid w:val="00883386"/>
    <w:rsid w:val="00884189"/>
    <w:rsid w:val="0088476F"/>
    <w:rsid w:val="0088535D"/>
    <w:rsid w:val="008871D4"/>
    <w:rsid w:val="00890F1A"/>
    <w:rsid w:val="008973F0"/>
    <w:rsid w:val="008A0B2E"/>
    <w:rsid w:val="008A2D24"/>
    <w:rsid w:val="008A2F1A"/>
    <w:rsid w:val="008A5A00"/>
    <w:rsid w:val="008A5EE2"/>
    <w:rsid w:val="008A6D66"/>
    <w:rsid w:val="008A7720"/>
    <w:rsid w:val="008B20E7"/>
    <w:rsid w:val="008B20E9"/>
    <w:rsid w:val="008B4C82"/>
    <w:rsid w:val="008C6DBD"/>
    <w:rsid w:val="008D13BA"/>
    <w:rsid w:val="008D257F"/>
    <w:rsid w:val="008D3933"/>
    <w:rsid w:val="008D6499"/>
    <w:rsid w:val="008D6667"/>
    <w:rsid w:val="008D7522"/>
    <w:rsid w:val="008E3132"/>
    <w:rsid w:val="008E5470"/>
    <w:rsid w:val="008F0438"/>
    <w:rsid w:val="00900582"/>
    <w:rsid w:val="009028E5"/>
    <w:rsid w:val="009045D4"/>
    <w:rsid w:val="00904846"/>
    <w:rsid w:val="00904E28"/>
    <w:rsid w:val="009052BF"/>
    <w:rsid w:val="00905F50"/>
    <w:rsid w:val="00907025"/>
    <w:rsid w:val="0091002A"/>
    <w:rsid w:val="00911DC4"/>
    <w:rsid w:val="00912D47"/>
    <w:rsid w:val="00914022"/>
    <w:rsid w:val="00914137"/>
    <w:rsid w:val="009147D2"/>
    <w:rsid w:val="00914880"/>
    <w:rsid w:val="00914C6A"/>
    <w:rsid w:val="00916AFB"/>
    <w:rsid w:val="00920AE5"/>
    <w:rsid w:val="00920EC2"/>
    <w:rsid w:val="0092339F"/>
    <w:rsid w:val="00925509"/>
    <w:rsid w:val="00926959"/>
    <w:rsid w:val="00930734"/>
    <w:rsid w:val="009318A9"/>
    <w:rsid w:val="00931EE6"/>
    <w:rsid w:val="009331E9"/>
    <w:rsid w:val="009369E2"/>
    <w:rsid w:val="009400C8"/>
    <w:rsid w:val="00940629"/>
    <w:rsid w:val="0094087C"/>
    <w:rsid w:val="00940E35"/>
    <w:rsid w:val="009414B0"/>
    <w:rsid w:val="00941816"/>
    <w:rsid w:val="00943EE9"/>
    <w:rsid w:val="009445C5"/>
    <w:rsid w:val="009446B2"/>
    <w:rsid w:val="00955475"/>
    <w:rsid w:val="0095775D"/>
    <w:rsid w:val="00960780"/>
    <w:rsid w:val="00961116"/>
    <w:rsid w:val="00961729"/>
    <w:rsid w:val="00963E5D"/>
    <w:rsid w:val="009645AA"/>
    <w:rsid w:val="00965F16"/>
    <w:rsid w:val="009720FB"/>
    <w:rsid w:val="0097326C"/>
    <w:rsid w:val="00973840"/>
    <w:rsid w:val="00973F03"/>
    <w:rsid w:val="0097711B"/>
    <w:rsid w:val="00980006"/>
    <w:rsid w:val="009806F2"/>
    <w:rsid w:val="0098221E"/>
    <w:rsid w:val="00982C14"/>
    <w:rsid w:val="00983B49"/>
    <w:rsid w:val="009847C2"/>
    <w:rsid w:val="00987305"/>
    <w:rsid w:val="009878E9"/>
    <w:rsid w:val="00991ED6"/>
    <w:rsid w:val="009921EC"/>
    <w:rsid w:val="0099243C"/>
    <w:rsid w:val="00997EA3"/>
    <w:rsid w:val="009A03CF"/>
    <w:rsid w:val="009A2D18"/>
    <w:rsid w:val="009A3E9A"/>
    <w:rsid w:val="009A6F3A"/>
    <w:rsid w:val="009A734E"/>
    <w:rsid w:val="009A7EAF"/>
    <w:rsid w:val="009B086B"/>
    <w:rsid w:val="009B0C1E"/>
    <w:rsid w:val="009B1F58"/>
    <w:rsid w:val="009B236E"/>
    <w:rsid w:val="009B4C31"/>
    <w:rsid w:val="009B5AFB"/>
    <w:rsid w:val="009B6613"/>
    <w:rsid w:val="009B6EE0"/>
    <w:rsid w:val="009C56A5"/>
    <w:rsid w:val="009C5B36"/>
    <w:rsid w:val="009D0AEC"/>
    <w:rsid w:val="009D1509"/>
    <w:rsid w:val="009D1D25"/>
    <w:rsid w:val="009D2092"/>
    <w:rsid w:val="009D253E"/>
    <w:rsid w:val="009D47C6"/>
    <w:rsid w:val="009D68C8"/>
    <w:rsid w:val="009E35CE"/>
    <w:rsid w:val="009E6549"/>
    <w:rsid w:val="009E7378"/>
    <w:rsid w:val="009E742C"/>
    <w:rsid w:val="009E7D2A"/>
    <w:rsid w:val="009E7DFC"/>
    <w:rsid w:val="009F03CB"/>
    <w:rsid w:val="009F1071"/>
    <w:rsid w:val="009F6898"/>
    <w:rsid w:val="009F6DCD"/>
    <w:rsid w:val="00A01955"/>
    <w:rsid w:val="00A02271"/>
    <w:rsid w:val="00A04B53"/>
    <w:rsid w:val="00A04D7E"/>
    <w:rsid w:val="00A04E8F"/>
    <w:rsid w:val="00A06FA0"/>
    <w:rsid w:val="00A0713B"/>
    <w:rsid w:val="00A11926"/>
    <w:rsid w:val="00A121FC"/>
    <w:rsid w:val="00A12CC2"/>
    <w:rsid w:val="00A14BCC"/>
    <w:rsid w:val="00A167EE"/>
    <w:rsid w:val="00A17975"/>
    <w:rsid w:val="00A20DA0"/>
    <w:rsid w:val="00A20FE5"/>
    <w:rsid w:val="00A24754"/>
    <w:rsid w:val="00A257BB"/>
    <w:rsid w:val="00A2674D"/>
    <w:rsid w:val="00A331F8"/>
    <w:rsid w:val="00A34408"/>
    <w:rsid w:val="00A34573"/>
    <w:rsid w:val="00A36DDE"/>
    <w:rsid w:val="00A37DEB"/>
    <w:rsid w:val="00A40295"/>
    <w:rsid w:val="00A40649"/>
    <w:rsid w:val="00A40CA3"/>
    <w:rsid w:val="00A47612"/>
    <w:rsid w:val="00A52FCC"/>
    <w:rsid w:val="00A5378A"/>
    <w:rsid w:val="00A54756"/>
    <w:rsid w:val="00A5688F"/>
    <w:rsid w:val="00A60269"/>
    <w:rsid w:val="00A6074A"/>
    <w:rsid w:val="00A60F74"/>
    <w:rsid w:val="00A61930"/>
    <w:rsid w:val="00A64C4F"/>
    <w:rsid w:val="00A65F5F"/>
    <w:rsid w:val="00A67326"/>
    <w:rsid w:val="00A75312"/>
    <w:rsid w:val="00A76AFB"/>
    <w:rsid w:val="00A76CEB"/>
    <w:rsid w:val="00A853EB"/>
    <w:rsid w:val="00A8598C"/>
    <w:rsid w:val="00A860C3"/>
    <w:rsid w:val="00A86D64"/>
    <w:rsid w:val="00A8742C"/>
    <w:rsid w:val="00A91906"/>
    <w:rsid w:val="00A93F33"/>
    <w:rsid w:val="00AA119F"/>
    <w:rsid w:val="00AA3074"/>
    <w:rsid w:val="00AA6E56"/>
    <w:rsid w:val="00AB146D"/>
    <w:rsid w:val="00AB55D7"/>
    <w:rsid w:val="00AC3A7D"/>
    <w:rsid w:val="00AC60D5"/>
    <w:rsid w:val="00AC63CE"/>
    <w:rsid w:val="00AD2C78"/>
    <w:rsid w:val="00AD43EC"/>
    <w:rsid w:val="00AD4D22"/>
    <w:rsid w:val="00AD50DC"/>
    <w:rsid w:val="00AD6F97"/>
    <w:rsid w:val="00AD7179"/>
    <w:rsid w:val="00AE305C"/>
    <w:rsid w:val="00AE6026"/>
    <w:rsid w:val="00AE75AA"/>
    <w:rsid w:val="00AF1D1D"/>
    <w:rsid w:val="00AF28DC"/>
    <w:rsid w:val="00AF328B"/>
    <w:rsid w:val="00AF3A23"/>
    <w:rsid w:val="00B00BED"/>
    <w:rsid w:val="00B00CBC"/>
    <w:rsid w:val="00B0174C"/>
    <w:rsid w:val="00B020EA"/>
    <w:rsid w:val="00B02BEC"/>
    <w:rsid w:val="00B03FE6"/>
    <w:rsid w:val="00B05666"/>
    <w:rsid w:val="00B05C9B"/>
    <w:rsid w:val="00B11FE3"/>
    <w:rsid w:val="00B12905"/>
    <w:rsid w:val="00B157B0"/>
    <w:rsid w:val="00B17CDE"/>
    <w:rsid w:val="00B17F5C"/>
    <w:rsid w:val="00B20545"/>
    <w:rsid w:val="00B21FB2"/>
    <w:rsid w:val="00B22AA7"/>
    <w:rsid w:val="00B22D0A"/>
    <w:rsid w:val="00B23BFE"/>
    <w:rsid w:val="00B25273"/>
    <w:rsid w:val="00B314A1"/>
    <w:rsid w:val="00B338A0"/>
    <w:rsid w:val="00B35FD4"/>
    <w:rsid w:val="00B368C3"/>
    <w:rsid w:val="00B46A73"/>
    <w:rsid w:val="00B4732E"/>
    <w:rsid w:val="00B5126B"/>
    <w:rsid w:val="00B512CA"/>
    <w:rsid w:val="00B5356F"/>
    <w:rsid w:val="00B5363A"/>
    <w:rsid w:val="00B54A2E"/>
    <w:rsid w:val="00B61235"/>
    <w:rsid w:val="00B62E18"/>
    <w:rsid w:val="00B66204"/>
    <w:rsid w:val="00B67184"/>
    <w:rsid w:val="00B672D6"/>
    <w:rsid w:val="00B71237"/>
    <w:rsid w:val="00B71D94"/>
    <w:rsid w:val="00B72A92"/>
    <w:rsid w:val="00B72D21"/>
    <w:rsid w:val="00B72F1C"/>
    <w:rsid w:val="00B739D4"/>
    <w:rsid w:val="00B74521"/>
    <w:rsid w:val="00B75545"/>
    <w:rsid w:val="00B7758C"/>
    <w:rsid w:val="00B824B8"/>
    <w:rsid w:val="00B84518"/>
    <w:rsid w:val="00B874C9"/>
    <w:rsid w:val="00B875EA"/>
    <w:rsid w:val="00B87F64"/>
    <w:rsid w:val="00B949E9"/>
    <w:rsid w:val="00B94B36"/>
    <w:rsid w:val="00B96F77"/>
    <w:rsid w:val="00B97A5D"/>
    <w:rsid w:val="00B97DAD"/>
    <w:rsid w:val="00B97F3C"/>
    <w:rsid w:val="00BA077C"/>
    <w:rsid w:val="00BA0C9D"/>
    <w:rsid w:val="00BA1BC7"/>
    <w:rsid w:val="00BA383E"/>
    <w:rsid w:val="00BA3C57"/>
    <w:rsid w:val="00BA47BA"/>
    <w:rsid w:val="00BA4D71"/>
    <w:rsid w:val="00BA6992"/>
    <w:rsid w:val="00BA7A5D"/>
    <w:rsid w:val="00BB1ADD"/>
    <w:rsid w:val="00BB586B"/>
    <w:rsid w:val="00BB6689"/>
    <w:rsid w:val="00BB6F4C"/>
    <w:rsid w:val="00BC03AE"/>
    <w:rsid w:val="00BC07FA"/>
    <w:rsid w:val="00BC20FC"/>
    <w:rsid w:val="00BC3332"/>
    <w:rsid w:val="00BC41F1"/>
    <w:rsid w:val="00BC4B45"/>
    <w:rsid w:val="00BC5484"/>
    <w:rsid w:val="00BD0525"/>
    <w:rsid w:val="00BD094F"/>
    <w:rsid w:val="00BD151B"/>
    <w:rsid w:val="00BD1D21"/>
    <w:rsid w:val="00BD1EB6"/>
    <w:rsid w:val="00BD32F3"/>
    <w:rsid w:val="00BD41A6"/>
    <w:rsid w:val="00BD7A6C"/>
    <w:rsid w:val="00BE246B"/>
    <w:rsid w:val="00BE4941"/>
    <w:rsid w:val="00BE4BFB"/>
    <w:rsid w:val="00BE5B0C"/>
    <w:rsid w:val="00BE6733"/>
    <w:rsid w:val="00BF155F"/>
    <w:rsid w:val="00BF39F9"/>
    <w:rsid w:val="00BF3AAD"/>
    <w:rsid w:val="00BF3FD9"/>
    <w:rsid w:val="00BF6002"/>
    <w:rsid w:val="00C001F4"/>
    <w:rsid w:val="00C04230"/>
    <w:rsid w:val="00C062D6"/>
    <w:rsid w:val="00C07C8E"/>
    <w:rsid w:val="00C11584"/>
    <w:rsid w:val="00C12D81"/>
    <w:rsid w:val="00C15F79"/>
    <w:rsid w:val="00C17D31"/>
    <w:rsid w:val="00C17F48"/>
    <w:rsid w:val="00C2158A"/>
    <w:rsid w:val="00C21AF7"/>
    <w:rsid w:val="00C2319F"/>
    <w:rsid w:val="00C23484"/>
    <w:rsid w:val="00C23651"/>
    <w:rsid w:val="00C23FC4"/>
    <w:rsid w:val="00C24624"/>
    <w:rsid w:val="00C2474D"/>
    <w:rsid w:val="00C25D08"/>
    <w:rsid w:val="00C27706"/>
    <w:rsid w:val="00C31667"/>
    <w:rsid w:val="00C3206C"/>
    <w:rsid w:val="00C3214A"/>
    <w:rsid w:val="00C35E9C"/>
    <w:rsid w:val="00C36F8A"/>
    <w:rsid w:val="00C37B68"/>
    <w:rsid w:val="00C37C47"/>
    <w:rsid w:val="00C40277"/>
    <w:rsid w:val="00C42FFC"/>
    <w:rsid w:val="00C432EC"/>
    <w:rsid w:val="00C504E2"/>
    <w:rsid w:val="00C52BD0"/>
    <w:rsid w:val="00C53107"/>
    <w:rsid w:val="00C60C00"/>
    <w:rsid w:val="00C63F09"/>
    <w:rsid w:val="00C657FE"/>
    <w:rsid w:val="00C67C02"/>
    <w:rsid w:val="00C70569"/>
    <w:rsid w:val="00C70F43"/>
    <w:rsid w:val="00C72745"/>
    <w:rsid w:val="00C7402E"/>
    <w:rsid w:val="00C753C7"/>
    <w:rsid w:val="00C75C2F"/>
    <w:rsid w:val="00C83EE9"/>
    <w:rsid w:val="00C85046"/>
    <w:rsid w:val="00C87C04"/>
    <w:rsid w:val="00C92E1A"/>
    <w:rsid w:val="00C938C9"/>
    <w:rsid w:val="00C95B52"/>
    <w:rsid w:val="00CA2929"/>
    <w:rsid w:val="00CA2A03"/>
    <w:rsid w:val="00CA2DA2"/>
    <w:rsid w:val="00CA3806"/>
    <w:rsid w:val="00CA51FF"/>
    <w:rsid w:val="00CA7E0E"/>
    <w:rsid w:val="00CB00C5"/>
    <w:rsid w:val="00CB28C1"/>
    <w:rsid w:val="00CB3871"/>
    <w:rsid w:val="00CB7407"/>
    <w:rsid w:val="00CB7D6B"/>
    <w:rsid w:val="00CC060E"/>
    <w:rsid w:val="00CC46F1"/>
    <w:rsid w:val="00CC6031"/>
    <w:rsid w:val="00CD2ECD"/>
    <w:rsid w:val="00CD7676"/>
    <w:rsid w:val="00CE2646"/>
    <w:rsid w:val="00CE2C61"/>
    <w:rsid w:val="00CE2F8D"/>
    <w:rsid w:val="00CE31F3"/>
    <w:rsid w:val="00CE3470"/>
    <w:rsid w:val="00CE5525"/>
    <w:rsid w:val="00CE599F"/>
    <w:rsid w:val="00CE5EF6"/>
    <w:rsid w:val="00CE7523"/>
    <w:rsid w:val="00CF308F"/>
    <w:rsid w:val="00CF3983"/>
    <w:rsid w:val="00CF5FD2"/>
    <w:rsid w:val="00D00AC1"/>
    <w:rsid w:val="00D00EA9"/>
    <w:rsid w:val="00D01FCD"/>
    <w:rsid w:val="00D034C0"/>
    <w:rsid w:val="00D03712"/>
    <w:rsid w:val="00D04845"/>
    <w:rsid w:val="00D074A9"/>
    <w:rsid w:val="00D12B98"/>
    <w:rsid w:val="00D138F5"/>
    <w:rsid w:val="00D16F8C"/>
    <w:rsid w:val="00D2069E"/>
    <w:rsid w:val="00D22E8F"/>
    <w:rsid w:val="00D25A22"/>
    <w:rsid w:val="00D265B6"/>
    <w:rsid w:val="00D26B70"/>
    <w:rsid w:val="00D30800"/>
    <w:rsid w:val="00D327BA"/>
    <w:rsid w:val="00D32C35"/>
    <w:rsid w:val="00D32FA2"/>
    <w:rsid w:val="00D33AD4"/>
    <w:rsid w:val="00D34B5A"/>
    <w:rsid w:val="00D3519E"/>
    <w:rsid w:val="00D36A3F"/>
    <w:rsid w:val="00D40BE8"/>
    <w:rsid w:val="00D4324F"/>
    <w:rsid w:val="00D46855"/>
    <w:rsid w:val="00D54A21"/>
    <w:rsid w:val="00D554A5"/>
    <w:rsid w:val="00D5574C"/>
    <w:rsid w:val="00D60794"/>
    <w:rsid w:val="00D624F0"/>
    <w:rsid w:val="00D64592"/>
    <w:rsid w:val="00D64FC7"/>
    <w:rsid w:val="00D65399"/>
    <w:rsid w:val="00D65F1C"/>
    <w:rsid w:val="00D66295"/>
    <w:rsid w:val="00D71C61"/>
    <w:rsid w:val="00D740B9"/>
    <w:rsid w:val="00D749B4"/>
    <w:rsid w:val="00D82C5A"/>
    <w:rsid w:val="00D83FB5"/>
    <w:rsid w:val="00D84AD5"/>
    <w:rsid w:val="00D85B0A"/>
    <w:rsid w:val="00D86CAB"/>
    <w:rsid w:val="00D9074E"/>
    <w:rsid w:val="00D90BE9"/>
    <w:rsid w:val="00D92C85"/>
    <w:rsid w:val="00D943A7"/>
    <w:rsid w:val="00D96E2C"/>
    <w:rsid w:val="00D9742A"/>
    <w:rsid w:val="00DA0B34"/>
    <w:rsid w:val="00DA390B"/>
    <w:rsid w:val="00DA3FAD"/>
    <w:rsid w:val="00DA4C33"/>
    <w:rsid w:val="00DA7928"/>
    <w:rsid w:val="00DB0E60"/>
    <w:rsid w:val="00DB6C31"/>
    <w:rsid w:val="00DC080F"/>
    <w:rsid w:val="00DC0DE1"/>
    <w:rsid w:val="00DC166B"/>
    <w:rsid w:val="00DC1BBC"/>
    <w:rsid w:val="00DC1FDB"/>
    <w:rsid w:val="00DC3AEF"/>
    <w:rsid w:val="00DC5732"/>
    <w:rsid w:val="00DC6938"/>
    <w:rsid w:val="00DC6BDE"/>
    <w:rsid w:val="00DC72B5"/>
    <w:rsid w:val="00DC7886"/>
    <w:rsid w:val="00DC7CF9"/>
    <w:rsid w:val="00DD3039"/>
    <w:rsid w:val="00DD403F"/>
    <w:rsid w:val="00DD42C8"/>
    <w:rsid w:val="00DD671F"/>
    <w:rsid w:val="00DE1444"/>
    <w:rsid w:val="00DE1FE4"/>
    <w:rsid w:val="00DE5373"/>
    <w:rsid w:val="00DE7001"/>
    <w:rsid w:val="00DF024D"/>
    <w:rsid w:val="00DF26FD"/>
    <w:rsid w:val="00DF660E"/>
    <w:rsid w:val="00E01091"/>
    <w:rsid w:val="00E06343"/>
    <w:rsid w:val="00E06BB7"/>
    <w:rsid w:val="00E07F55"/>
    <w:rsid w:val="00E113B8"/>
    <w:rsid w:val="00E1188D"/>
    <w:rsid w:val="00E14EAF"/>
    <w:rsid w:val="00E16D4C"/>
    <w:rsid w:val="00E172BF"/>
    <w:rsid w:val="00E177F1"/>
    <w:rsid w:val="00E20D99"/>
    <w:rsid w:val="00E226BB"/>
    <w:rsid w:val="00E23AA0"/>
    <w:rsid w:val="00E24E5A"/>
    <w:rsid w:val="00E307BC"/>
    <w:rsid w:val="00E32521"/>
    <w:rsid w:val="00E32945"/>
    <w:rsid w:val="00E32EA7"/>
    <w:rsid w:val="00E33E6E"/>
    <w:rsid w:val="00E34E40"/>
    <w:rsid w:val="00E35EA1"/>
    <w:rsid w:val="00E361A9"/>
    <w:rsid w:val="00E3696B"/>
    <w:rsid w:val="00E373C4"/>
    <w:rsid w:val="00E37AB7"/>
    <w:rsid w:val="00E44247"/>
    <w:rsid w:val="00E45D7E"/>
    <w:rsid w:val="00E46EB4"/>
    <w:rsid w:val="00E51E85"/>
    <w:rsid w:val="00E566B7"/>
    <w:rsid w:val="00E570E7"/>
    <w:rsid w:val="00E60791"/>
    <w:rsid w:val="00E64C6E"/>
    <w:rsid w:val="00E665C1"/>
    <w:rsid w:val="00E67149"/>
    <w:rsid w:val="00E67164"/>
    <w:rsid w:val="00E67411"/>
    <w:rsid w:val="00E700FA"/>
    <w:rsid w:val="00E8024F"/>
    <w:rsid w:val="00E80960"/>
    <w:rsid w:val="00E83FF4"/>
    <w:rsid w:val="00E90892"/>
    <w:rsid w:val="00E90CBB"/>
    <w:rsid w:val="00E913FD"/>
    <w:rsid w:val="00E916C9"/>
    <w:rsid w:val="00E92606"/>
    <w:rsid w:val="00E93E6A"/>
    <w:rsid w:val="00E96AFA"/>
    <w:rsid w:val="00EA44AC"/>
    <w:rsid w:val="00EA4616"/>
    <w:rsid w:val="00EA4AA1"/>
    <w:rsid w:val="00EB21A7"/>
    <w:rsid w:val="00EB32BD"/>
    <w:rsid w:val="00EB45A4"/>
    <w:rsid w:val="00EB7AE5"/>
    <w:rsid w:val="00EC0A5C"/>
    <w:rsid w:val="00EC47C3"/>
    <w:rsid w:val="00EC6488"/>
    <w:rsid w:val="00EC7699"/>
    <w:rsid w:val="00ED1A98"/>
    <w:rsid w:val="00ED47CF"/>
    <w:rsid w:val="00ED6CBC"/>
    <w:rsid w:val="00ED72AF"/>
    <w:rsid w:val="00ED7484"/>
    <w:rsid w:val="00EE0691"/>
    <w:rsid w:val="00EE3777"/>
    <w:rsid w:val="00EE45E0"/>
    <w:rsid w:val="00EE496F"/>
    <w:rsid w:val="00EE5037"/>
    <w:rsid w:val="00EF1CA8"/>
    <w:rsid w:val="00EF2DD0"/>
    <w:rsid w:val="00EF3CDD"/>
    <w:rsid w:val="00EF4505"/>
    <w:rsid w:val="00EF47DC"/>
    <w:rsid w:val="00EF6930"/>
    <w:rsid w:val="00EF7081"/>
    <w:rsid w:val="00F0010B"/>
    <w:rsid w:val="00F0321E"/>
    <w:rsid w:val="00F0367C"/>
    <w:rsid w:val="00F039C4"/>
    <w:rsid w:val="00F05877"/>
    <w:rsid w:val="00F06C7D"/>
    <w:rsid w:val="00F07300"/>
    <w:rsid w:val="00F07F97"/>
    <w:rsid w:val="00F12A83"/>
    <w:rsid w:val="00F14AB8"/>
    <w:rsid w:val="00F15D30"/>
    <w:rsid w:val="00F16760"/>
    <w:rsid w:val="00F2361D"/>
    <w:rsid w:val="00F247B6"/>
    <w:rsid w:val="00F25025"/>
    <w:rsid w:val="00F32332"/>
    <w:rsid w:val="00F3462A"/>
    <w:rsid w:val="00F346AC"/>
    <w:rsid w:val="00F45C95"/>
    <w:rsid w:val="00F5298A"/>
    <w:rsid w:val="00F52D12"/>
    <w:rsid w:val="00F53B2F"/>
    <w:rsid w:val="00F542CE"/>
    <w:rsid w:val="00F54358"/>
    <w:rsid w:val="00F54C39"/>
    <w:rsid w:val="00F570FE"/>
    <w:rsid w:val="00F5712A"/>
    <w:rsid w:val="00F62BAE"/>
    <w:rsid w:val="00F67199"/>
    <w:rsid w:val="00F74050"/>
    <w:rsid w:val="00F745B8"/>
    <w:rsid w:val="00F758DF"/>
    <w:rsid w:val="00F77589"/>
    <w:rsid w:val="00F81CB4"/>
    <w:rsid w:val="00F82B40"/>
    <w:rsid w:val="00F839C0"/>
    <w:rsid w:val="00F83EF5"/>
    <w:rsid w:val="00F9283A"/>
    <w:rsid w:val="00F93283"/>
    <w:rsid w:val="00F939E4"/>
    <w:rsid w:val="00F93DDB"/>
    <w:rsid w:val="00F9525A"/>
    <w:rsid w:val="00F96237"/>
    <w:rsid w:val="00FA18E0"/>
    <w:rsid w:val="00FA1FB6"/>
    <w:rsid w:val="00FA5F4C"/>
    <w:rsid w:val="00FA6A1F"/>
    <w:rsid w:val="00FA6CCD"/>
    <w:rsid w:val="00FA6ECB"/>
    <w:rsid w:val="00FB1944"/>
    <w:rsid w:val="00FB263E"/>
    <w:rsid w:val="00FB3394"/>
    <w:rsid w:val="00FB676B"/>
    <w:rsid w:val="00FB6CB1"/>
    <w:rsid w:val="00FC1272"/>
    <w:rsid w:val="00FC1434"/>
    <w:rsid w:val="00FC15C2"/>
    <w:rsid w:val="00FC1CEB"/>
    <w:rsid w:val="00FD02A0"/>
    <w:rsid w:val="00FD442F"/>
    <w:rsid w:val="00FD5DE0"/>
    <w:rsid w:val="00FD7B55"/>
    <w:rsid w:val="00FE1B8E"/>
    <w:rsid w:val="00FE1CFC"/>
    <w:rsid w:val="00FE3FBD"/>
    <w:rsid w:val="00FE5AC0"/>
    <w:rsid w:val="00FE5D2F"/>
    <w:rsid w:val="00FF00B5"/>
    <w:rsid w:val="00FF06C6"/>
    <w:rsid w:val="00FF5A05"/>
    <w:rsid w:val="00FF64F0"/>
    <w:rsid w:val="00FF68A8"/>
    <w:rsid w:val="00FF6B09"/>
    <w:rsid w:val="00FF6B43"/>
    <w:rsid w:val="00FF7A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13EBF-B4FE-456F-9928-49D85F164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31D"/>
  </w:style>
  <w:style w:type="paragraph" w:styleId="Titre1">
    <w:name w:val="heading 1"/>
    <w:basedOn w:val="Normal"/>
    <w:next w:val="Normal"/>
    <w:link w:val="Titre1Car"/>
    <w:uiPriority w:val="9"/>
    <w:qFormat/>
    <w:rsid w:val="0002631D"/>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semiHidden/>
    <w:unhideWhenUsed/>
    <w:qFormat/>
    <w:rsid w:val="0002631D"/>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semiHidden/>
    <w:unhideWhenUsed/>
    <w:qFormat/>
    <w:rsid w:val="0002631D"/>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semiHidden/>
    <w:unhideWhenUsed/>
    <w:qFormat/>
    <w:rsid w:val="0002631D"/>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semiHidden/>
    <w:unhideWhenUsed/>
    <w:qFormat/>
    <w:rsid w:val="0002631D"/>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semiHidden/>
    <w:unhideWhenUsed/>
    <w:qFormat/>
    <w:rsid w:val="0002631D"/>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semiHidden/>
    <w:unhideWhenUsed/>
    <w:qFormat/>
    <w:rsid w:val="0002631D"/>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02631D"/>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semiHidden/>
    <w:unhideWhenUsed/>
    <w:qFormat/>
    <w:rsid w:val="0002631D"/>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F6B43"/>
    <w:pPr>
      <w:ind w:left="720"/>
      <w:contextualSpacing/>
    </w:pPr>
  </w:style>
  <w:style w:type="paragraph" w:styleId="Textedebulles">
    <w:name w:val="Balloon Text"/>
    <w:basedOn w:val="Normal"/>
    <w:link w:val="TextedebullesCar"/>
    <w:uiPriority w:val="99"/>
    <w:semiHidden/>
    <w:unhideWhenUsed/>
    <w:rsid w:val="00B00B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0BED"/>
    <w:rPr>
      <w:rFonts w:ascii="Segoe UI" w:hAnsi="Segoe UI" w:cs="Segoe UI"/>
      <w:sz w:val="18"/>
      <w:szCs w:val="18"/>
    </w:rPr>
  </w:style>
  <w:style w:type="paragraph" w:styleId="En-tte">
    <w:name w:val="header"/>
    <w:basedOn w:val="Normal"/>
    <w:link w:val="En-tteCar"/>
    <w:uiPriority w:val="99"/>
    <w:unhideWhenUsed/>
    <w:rsid w:val="00B00BED"/>
    <w:pPr>
      <w:tabs>
        <w:tab w:val="center" w:pos="4536"/>
        <w:tab w:val="right" w:pos="9072"/>
      </w:tabs>
      <w:spacing w:after="0" w:line="240" w:lineRule="auto"/>
    </w:pPr>
  </w:style>
  <w:style w:type="character" w:customStyle="1" w:styleId="En-tteCar">
    <w:name w:val="En-tête Car"/>
    <w:basedOn w:val="Policepardfaut"/>
    <w:link w:val="En-tte"/>
    <w:uiPriority w:val="99"/>
    <w:rsid w:val="00B00BED"/>
  </w:style>
  <w:style w:type="paragraph" w:styleId="Pieddepage">
    <w:name w:val="footer"/>
    <w:basedOn w:val="Normal"/>
    <w:link w:val="PieddepageCar"/>
    <w:uiPriority w:val="99"/>
    <w:unhideWhenUsed/>
    <w:rsid w:val="00B00B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0BED"/>
  </w:style>
  <w:style w:type="paragraph" w:styleId="Corpsdetexte">
    <w:name w:val="Body Text"/>
    <w:basedOn w:val="Normal"/>
    <w:link w:val="CorpsdetexteCar"/>
    <w:semiHidden/>
    <w:rsid w:val="00D64FC7"/>
    <w:pPr>
      <w:spacing w:after="0" w:line="240" w:lineRule="auto"/>
      <w:ind w:right="1"/>
      <w:jc w:val="both"/>
    </w:pPr>
    <w:rPr>
      <w:rFonts w:ascii="Arial" w:eastAsia="Times New Roman" w:hAnsi="Arial" w:cs="Arial"/>
      <w:b/>
      <w:bCs/>
      <w:u w:val="single"/>
      <w:lang w:eastAsia="fr-FR"/>
    </w:rPr>
  </w:style>
  <w:style w:type="character" w:customStyle="1" w:styleId="CorpsdetexteCar">
    <w:name w:val="Corps de texte Car"/>
    <w:basedOn w:val="Policepardfaut"/>
    <w:link w:val="Corpsdetexte"/>
    <w:semiHidden/>
    <w:rsid w:val="00D64FC7"/>
    <w:rPr>
      <w:rFonts w:ascii="Arial" w:eastAsia="Times New Roman" w:hAnsi="Arial" w:cs="Arial"/>
      <w:b/>
      <w:bCs/>
      <w:u w:val="single"/>
      <w:lang w:eastAsia="fr-FR"/>
    </w:rPr>
  </w:style>
  <w:style w:type="paragraph" w:styleId="Textebrut">
    <w:name w:val="Plain Text"/>
    <w:basedOn w:val="Normal"/>
    <w:link w:val="TextebrutCar"/>
    <w:semiHidden/>
    <w:rsid w:val="00D64FC7"/>
    <w:pPr>
      <w:spacing w:after="0" w:line="240" w:lineRule="auto"/>
      <w:ind w:right="1"/>
      <w:jc w:val="both"/>
    </w:pPr>
    <w:rPr>
      <w:rFonts w:ascii="Courier New" w:eastAsia="Times New Roman" w:hAnsi="Courier New" w:cs="Arial"/>
      <w:b/>
      <w:bCs/>
      <w:sz w:val="20"/>
      <w:szCs w:val="20"/>
      <w:u w:val="single"/>
      <w:lang w:eastAsia="fr-FR"/>
    </w:rPr>
  </w:style>
  <w:style w:type="character" w:customStyle="1" w:styleId="TextebrutCar">
    <w:name w:val="Texte brut Car"/>
    <w:basedOn w:val="Policepardfaut"/>
    <w:link w:val="Textebrut"/>
    <w:semiHidden/>
    <w:rsid w:val="00D64FC7"/>
    <w:rPr>
      <w:rFonts w:ascii="Courier New" w:eastAsia="Times New Roman" w:hAnsi="Courier New" w:cs="Arial"/>
      <w:b/>
      <w:bCs/>
      <w:sz w:val="20"/>
      <w:szCs w:val="20"/>
      <w:u w:val="single"/>
      <w:lang w:eastAsia="fr-FR"/>
    </w:rPr>
  </w:style>
  <w:style w:type="paragraph" w:customStyle="1" w:styleId="Default">
    <w:name w:val="Default"/>
    <w:rsid w:val="00CC46F1"/>
    <w:pPr>
      <w:autoSpaceDE w:val="0"/>
      <w:autoSpaceDN w:val="0"/>
      <w:adjustRightInd w:val="0"/>
      <w:spacing w:after="0" w:line="240" w:lineRule="auto"/>
    </w:pPr>
    <w:rPr>
      <w:rFonts w:ascii="Arial" w:hAnsi="Arial" w:cs="Arial"/>
      <w:color w:val="000000"/>
      <w:sz w:val="24"/>
      <w:szCs w:val="24"/>
    </w:rPr>
  </w:style>
  <w:style w:type="paragraph" w:styleId="Listepuces">
    <w:name w:val="List Bullet"/>
    <w:basedOn w:val="Normal"/>
    <w:uiPriority w:val="99"/>
    <w:unhideWhenUsed/>
    <w:rsid w:val="00CE599F"/>
    <w:pPr>
      <w:numPr>
        <w:numId w:val="1"/>
      </w:numPr>
      <w:contextualSpacing/>
    </w:pPr>
  </w:style>
  <w:style w:type="character" w:customStyle="1" w:styleId="st">
    <w:name w:val="st"/>
    <w:basedOn w:val="Policepardfaut"/>
    <w:rsid w:val="00D32C35"/>
  </w:style>
  <w:style w:type="paragraph" w:styleId="Corpsdetexte3">
    <w:name w:val="Body Text 3"/>
    <w:basedOn w:val="Normal"/>
    <w:link w:val="Corpsdetexte3Car"/>
    <w:uiPriority w:val="99"/>
    <w:semiHidden/>
    <w:unhideWhenUsed/>
    <w:rsid w:val="00D32C35"/>
    <w:pPr>
      <w:spacing w:after="120"/>
    </w:pPr>
    <w:rPr>
      <w:sz w:val="16"/>
      <w:szCs w:val="16"/>
    </w:rPr>
  </w:style>
  <w:style w:type="character" w:customStyle="1" w:styleId="Corpsdetexte3Car">
    <w:name w:val="Corps de texte 3 Car"/>
    <w:basedOn w:val="Policepardfaut"/>
    <w:link w:val="Corpsdetexte3"/>
    <w:uiPriority w:val="99"/>
    <w:semiHidden/>
    <w:rsid w:val="00D32C35"/>
    <w:rPr>
      <w:sz w:val="16"/>
      <w:szCs w:val="16"/>
    </w:rPr>
  </w:style>
  <w:style w:type="paragraph" w:customStyle="1" w:styleId="xl28">
    <w:name w:val="xl28"/>
    <w:basedOn w:val="Normal"/>
    <w:rsid w:val="00CF3983"/>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C3214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02631D"/>
    <w:pPr>
      <w:spacing w:line="240" w:lineRule="auto"/>
    </w:pPr>
    <w:rPr>
      <w:b/>
      <w:bCs/>
      <w:color w:val="C0504D" w:themeColor="accent2"/>
      <w:spacing w:val="10"/>
      <w:sz w:val="16"/>
      <w:szCs w:val="16"/>
    </w:rPr>
  </w:style>
  <w:style w:type="character" w:styleId="Lienhypertexte">
    <w:name w:val="Hyperlink"/>
    <w:basedOn w:val="Policepardfaut"/>
    <w:uiPriority w:val="99"/>
    <w:unhideWhenUsed/>
    <w:rsid w:val="002D709A"/>
    <w:rPr>
      <w:color w:val="0000FF" w:themeColor="hyperlink"/>
      <w:u w:val="single"/>
    </w:rPr>
  </w:style>
  <w:style w:type="character" w:customStyle="1" w:styleId="Titre1Car">
    <w:name w:val="Titre 1 Car"/>
    <w:basedOn w:val="Policepardfaut"/>
    <w:link w:val="Titre1"/>
    <w:uiPriority w:val="9"/>
    <w:rsid w:val="0002631D"/>
    <w:rPr>
      <w:rFonts w:asciiTheme="majorHAnsi" w:eastAsiaTheme="majorEastAsia" w:hAnsiTheme="majorHAnsi" w:cstheme="majorBidi"/>
      <w:caps/>
      <w:spacing w:val="10"/>
      <w:sz w:val="36"/>
      <w:szCs w:val="36"/>
    </w:rPr>
  </w:style>
  <w:style w:type="character" w:customStyle="1" w:styleId="Titre2Car">
    <w:name w:val="Titre 2 Car"/>
    <w:basedOn w:val="Policepardfaut"/>
    <w:link w:val="Titre2"/>
    <w:uiPriority w:val="9"/>
    <w:semiHidden/>
    <w:rsid w:val="0002631D"/>
    <w:rPr>
      <w:rFonts w:asciiTheme="majorHAnsi" w:eastAsiaTheme="majorEastAsia" w:hAnsiTheme="majorHAnsi" w:cstheme="majorBidi"/>
      <w:sz w:val="36"/>
      <w:szCs w:val="36"/>
    </w:rPr>
  </w:style>
  <w:style w:type="character" w:customStyle="1" w:styleId="Titre3Car">
    <w:name w:val="Titre 3 Car"/>
    <w:basedOn w:val="Policepardfaut"/>
    <w:link w:val="Titre3"/>
    <w:uiPriority w:val="9"/>
    <w:semiHidden/>
    <w:rsid w:val="0002631D"/>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semiHidden/>
    <w:rsid w:val="0002631D"/>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semiHidden/>
    <w:rsid w:val="0002631D"/>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semiHidden/>
    <w:rsid w:val="0002631D"/>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semiHidden/>
    <w:rsid w:val="0002631D"/>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semiHidden/>
    <w:rsid w:val="0002631D"/>
    <w:rPr>
      <w:rFonts w:asciiTheme="majorHAnsi" w:eastAsiaTheme="majorEastAsia" w:hAnsiTheme="majorHAnsi" w:cstheme="majorBidi"/>
      <w:caps/>
    </w:rPr>
  </w:style>
  <w:style w:type="character" w:customStyle="1" w:styleId="Titre9Car">
    <w:name w:val="Titre 9 Car"/>
    <w:basedOn w:val="Policepardfaut"/>
    <w:link w:val="Titre9"/>
    <w:uiPriority w:val="9"/>
    <w:semiHidden/>
    <w:rsid w:val="0002631D"/>
    <w:rPr>
      <w:rFonts w:asciiTheme="majorHAnsi" w:eastAsiaTheme="majorEastAsia" w:hAnsiTheme="majorHAnsi" w:cstheme="majorBidi"/>
      <w:i/>
      <w:iCs/>
      <w:caps/>
    </w:rPr>
  </w:style>
  <w:style w:type="paragraph" w:styleId="Titre">
    <w:name w:val="Title"/>
    <w:basedOn w:val="Normal"/>
    <w:next w:val="Normal"/>
    <w:link w:val="TitreCar"/>
    <w:uiPriority w:val="10"/>
    <w:qFormat/>
    <w:rsid w:val="0002631D"/>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Car">
    <w:name w:val="Titre Car"/>
    <w:basedOn w:val="Policepardfaut"/>
    <w:link w:val="Titre"/>
    <w:uiPriority w:val="10"/>
    <w:rsid w:val="0002631D"/>
    <w:rPr>
      <w:rFonts w:asciiTheme="majorHAnsi" w:eastAsiaTheme="majorEastAsia" w:hAnsiTheme="majorHAnsi" w:cstheme="majorBidi"/>
      <w:caps/>
      <w:spacing w:val="40"/>
      <w:sz w:val="76"/>
      <w:szCs w:val="76"/>
    </w:rPr>
  </w:style>
  <w:style w:type="paragraph" w:styleId="Sous-titre">
    <w:name w:val="Subtitle"/>
    <w:basedOn w:val="Normal"/>
    <w:next w:val="Normal"/>
    <w:link w:val="Sous-titreCar"/>
    <w:uiPriority w:val="11"/>
    <w:qFormat/>
    <w:rsid w:val="0002631D"/>
    <w:pPr>
      <w:numPr>
        <w:ilvl w:val="1"/>
      </w:numPr>
      <w:spacing w:after="240"/>
    </w:pPr>
    <w:rPr>
      <w:color w:val="000000" w:themeColor="text1"/>
      <w:sz w:val="24"/>
      <w:szCs w:val="24"/>
    </w:rPr>
  </w:style>
  <w:style w:type="character" w:customStyle="1" w:styleId="Sous-titreCar">
    <w:name w:val="Sous-titre Car"/>
    <w:basedOn w:val="Policepardfaut"/>
    <w:link w:val="Sous-titre"/>
    <w:uiPriority w:val="11"/>
    <w:rsid w:val="0002631D"/>
    <w:rPr>
      <w:color w:val="000000" w:themeColor="text1"/>
      <w:sz w:val="24"/>
      <w:szCs w:val="24"/>
    </w:rPr>
  </w:style>
  <w:style w:type="character" w:styleId="lev">
    <w:name w:val="Strong"/>
    <w:basedOn w:val="Policepardfaut"/>
    <w:uiPriority w:val="22"/>
    <w:qFormat/>
    <w:rsid w:val="0002631D"/>
    <w:rPr>
      <w:rFonts w:asciiTheme="minorHAnsi" w:eastAsiaTheme="minorEastAsia" w:hAnsiTheme="minorHAnsi" w:cstheme="minorBidi"/>
      <w:b/>
      <w:bCs/>
      <w:spacing w:val="0"/>
      <w:w w:val="100"/>
      <w:position w:val="0"/>
      <w:sz w:val="20"/>
      <w:szCs w:val="20"/>
    </w:rPr>
  </w:style>
  <w:style w:type="character" w:styleId="Accentuation">
    <w:name w:val="Emphasis"/>
    <w:basedOn w:val="Policepardfaut"/>
    <w:uiPriority w:val="20"/>
    <w:qFormat/>
    <w:rsid w:val="0002631D"/>
    <w:rPr>
      <w:rFonts w:asciiTheme="minorHAnsi" w:eastAsiaTheme="minorEastAsia" w:hAnsiTheme="minorHAnsi" w:cstheme="minorBidi"/>
      <w:i/>
      <w:iCs/>
      <w:color w:val="943634" w:themeColor="accent2" w:themeShade="BF"/>
      <w:sz w:val="20"/>
      <w:szCs w:val="20"/>
    </w:rPr>
  </w:style>
  <w:style w:type="paragraph" w:styleId="Sansinterligne">
    <w:name w:val="No Spacing"/>
    <w:uiPriority w:val="1"/>
    <w:qFormat/>
    <w:rsid w:val="0002631D"/>
    <w:pPr>
      <w:spacing w:after="0" w:line="240" w:lineRule="auto"/>
    </w:pPr>
  </w:style>
  <w:style w:type="paragraph" w:styleId="Citation">
    <w:name w:val="Quote"/>
    <w:basedOn w:val="Normal"/>
    <w:next w:val="Normal"/>
    <w:link w:val="CitationCar"/>
    <w:uiPriority w:val="29"/>
    <w:qFormat/>
    <w:rsid w:val="0002631D"/>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02631D"/>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02631D"/>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CitationintenseCar">
    <w:name w:val="Citation intense Car"/>
    <w:basedOn w:val="Policepardfaut"/>
    <w:link w:val="Citationintense"/>
    <w:uiPriority w:val="30"/>
    <w:rsid w:val="0002631D"/>
    <w:rPr>
      <w:rFonts w:asciiTheme="majorHAnsi" w:eastAsiaTheme="majorEastAsia" w:hAnsiTheme="majorHAnsi" w:cstheme="majorBidi"/>
      <w:caps/>
      <w:color w:val="943634" w:themeColor="accent2" w:themeShade="BF"/>
      <w:spacing w:val="10"/>
      <w:sz w:val="28"/>
      <w:szCs w:val="28"/>
    </w:rPr>
  </w:style>
  <w:style w:type="character" w:styleId="Accentuationlgre">
    <w:name w:val="Subtle Emphasis"/>
    <w:basedOn w:val="Policepardfaut"/>
    <w:uiPriority w:val="19"/>
    <w:qFormat/>
    <w:rsid w:val="0002631D"/>
    <w:rPr>
      <w:i/>
      <w:iCs/>
      <w:color w:val="auto"/>
    </w:rPr>
  </w:style>
  <w:style w:type="character" w:styleId="Accentuationintense">
    <w:name w:val="Intense Emphasis"/>
    <w:basedOn w:val="Policepardfaut"/>
    <w:uiPriority w:val="21"/>
    <w:qFormat/>
    <w:rsid w:val="0002631D"/>
    <w:rPr>
      <w:rFonts w:asciiTheme="minorHAnsi" w:eastAsiaTheme="minorEastAsia" w:hAnsiTheme="minorHAnsi" w:cstheme="minorBidi"/>
      <w:b/>
      <w:bCs/>
      <w:i/>
      <w:iCs/>
      <w:color w:val="943634" w:themeColor="accent2" w:themeShade="BF"/>
      <w:spacing w:val="0"/>
      <w:w w:val="100"/>
      <w:position w:val="0"/>
      <w:sz w:val="20"/>
      <w:szCs w:val="20"/>
    </w:rPr>
  </w:style>
  <w:style w:type="character" w:styleId="Rfrencelgre">
    <w:name w:val="Subtle Reference"/>
    <w:basedOn w:val="Policepardfaut"/>
    <w:uiPriority w:val="31"/>
    <w:qFormat/>
    <w:rsid w:val="0002631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02631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02631D"/>
    <w:rPr>
      <w:rFonts w:asciiTheme="minorHAnsi" w:eastAsiaTheme="minorEastAsia" w:hAnsiTheme="minorHAnsi" w:cstheme="minorBidi"/>
      <w:b/>
      <w:bCs/>
      <w:i/>
      <w:iCs/>
      <w:caps w:val="0"/>
      <w:smallCaps w:val="0"/>
      <w:color w:val="auto"/>
      <w:spacing w:val="10"/>
      <w:w w:val="100"/>
      <w:sz w:val="20"/>
      <w:szCs w:val="20"/>
    </w:rPr>
  </w:style>
  <w:style w:type="paragraph" w:styleId="En-ttedetabledesmatires">
    <w:name w:val="TOC Heading"/>
    <w:basedOn w:val="Titre1"/>
    <w:next w:val="Normal"/>
    <w:uiPriority w:val="39"/>
    <w:semiHidden/>
    <w:unhideWhenUsed/>
    <w:qFormat/>
    <w:rsid w:val="0002631D"/>
    <w:pPr>
      <w:outlineLvl w:val="9"/>
    </w:pPr>
  </w:style>
  <w:style w:type="character" w:customStyle="1" w:styleId="A6">
    <w:name w:val="A6"/>
    <w:uiPriority w:val="99"/>
    <w:rsid w:val="003B2B30"/>
    <w:rPr>
      <w:rFonts w:cs="HelveticaNeueLT Std"/>
      <w:color w:val="000000"/>
      <w:sz w:val="11"/>
      <w:szCs w:val="11"/>
    </w:rPr>
  </w:style>
  <w:style w:type="numbering" w:customStyle="1" w:styleId="WWNum2">
    <w:name w:val="WWNum2"/>
    <w:basedOn w:val="Aucuneliste"/>
    <w:rsid w:val="00F939E4"/>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937653">
      <w:bodyDiv w:val="1"/>
      <w:marLeft w:val="0"/>
      <w:marRight w:val="0"/>
      <w:marTop w:val="0"/>
      <w:marBottom w:val="0"/>
      <w:divBdr>
        <w:top w:val="none" w:sz="0" w:space="0" w:color="auto"/>
        <w:left w:val="none" w:sz="0" w:space="0" w:color="auto"/>
        <w:bottom w:val="none" w:sz="0" w:space="0" w:color="auto"/>
        <w:right w:val="none" w:sz="0" w:space="0" w:color="auto"/>
      </w:divBdr>
    </w:div>
    <w:div w:id="331370690">
      <w:bodyDiv w:val="1"/>
      <w:marLeft w:val="0"/>
      <w:marRight w:val="0"/>
      <w:marTop w:val="0"/>
      <w:marBottom w:val="0"/>
      <w:divBdr>
        <w:top w:val="none" w:sz="0" w:space="0" w:color="auto"/>
        <w:left w:val="none" w:sz="0" w:space="0" w:color="auto"/>
        <w:bottom w:val="none" w:sz="0" w:space="0" w:color="auto"/>
        <w:right w:val="none" w:sz="0" w:space="0" w:color="auto"/>
      </w:divBdr>
    </w:div>
    <w:div w:id="561796701">
      <w:bodyDiv w:val="1"/>
      <w:marLeft w:val="0"/>
      <w:marRight w:val="0"/>
      <w:marTop w:val="0"/>
      <w:marBottom w:val="0"/>
      <w:divBdr>
        <w:top w:val="none" w:sz="0" w:space="0" w:color="auto"/>
        <w:left w:val="none" w:sz="0" w:space="0" w:color="auto"/>
        <w:bottom w:val="none" w:sz="0" w:space="0" w:color="auto"/>
        <w:right w:val="none" w:sz="0" w:space="0" w:color="auto"/>
      </w:divBdr>
    </w:div>
    <w:div w:id="903417796">
      <w:bodyDiv w:val="1"/>
      <w:marLeft w:val="0"/>
      <w:marRight w:val="0"/>
      <w:marTop w:val="0"/>
      <w:marBottom w:val="0"/>
      <w:divBdr>
        <w:top w:val="none" w:sz="0" w:space="0" w:color="auto"/>
        <w:left w:val="none" w:sz="0" w:space="0" w:color="auto"/>
        <w:bottom w:val="none" w:sz="0" w:space="0" w:color="auto"/>
        <w:right w:val="none" w:sz="0" w:space="0" w:color="auto"/>
      </w:divBdr>
    </w:div>
    <w:div w:id="1119451329">
      <w:bodyDiv w:val="1"/>
      <w:marLeft w:val="0"/>
      <w:marRight w:val="0"/>
      <w:marTop w:val="0"/>
      <w:marBottom w:val="0"/>
      <w:divBdr>
        <w:top w:val="none" w:sz="0" w:space="0" w:color="auto"/>
        <w:left w:val="none" w:sz="0" w:space="0" w:color="auto"/>
        <w:bottom w:val="none" w:sz="0" w:space="0" w:color="auto"/>
        <w:right w:val="none" w:sz="0" w:space="0" w:color="auto"/>
      </w:divBdr>
    </w:div>
    <w:div w:id="1159032386">
      <w:bodyDiv w:val="1"/>
      <w:marLeft w:val="0"/>
      <w:marRight w:val="0"/>
      <w:marTop w:val="0"/>
      <w:marBottom w:val="0"/>
      <w:divBdr>
        <w:top w:val="none" w:sz="0" w:space="0" w:color="auto"/>
        <w:left w:val="none" w:sz="0" w:space="0" w:color="auto"/>
        <w:bottom w:val="none" w:sz="0" w:space="0" w:color="auto"/>
        <w:right w:val="none" w:sz="0" w:space="0" w:color="auto"/>
      </w:divBdr>
    </w:div>
    <w:div w:id="1189757529">
      <w:bodyDiv w:val="1"/>
      <w:marLeft w:val="0"/>
      <w:marRight w:val="0"/>
      <w:marTop w:val="0"/>
      <w:marBottom w:val="0"/>
      <w:divBdr>
        <w:top w:val="none" w:sz="0" w:space="0" w:color="auto"/>
        <w:left w:val="none" w:sz="0" w:space="0" w:color="auto"/>
        <w:bottom w:val="none" w:sz="0" w:space="0" w:color="auto"/>
        <w:right w:val="none" w:sz="0" w:space="0" w:color="auto"/>
      </w:divBdr>
    </w:div>
    <w:div w:id="1202477766">
      <w:bodyDiv w:val="1"/>
      <w:marLeft w:val="0"/>
      <w:marRight w:val="0"/>
      <w:marTop w:val="0"/>
      <w:marBottom w:val="0"/>
      <w:divBdr>
        <w:top w:val="none" w:sz="0" w:space="0" w:color="auto"/>
        <w:left w:val="none" w:sz="0" w:space="0" w:color="auto"/>
        <w:bottom w:val="none" w:sz="0" w:space="0" w:color="auto"/>
        <w:right w:val="none" w:sz="0" w:space="0" w:color="auto"/>
      </w:divBdr>
    </w:div>
    <w:div w:id="1231230948">
      <w:bodyDiv w:val="1"/>
      <w:marLeft w:val="0"/>
      <w:marRight w:val="0"/>
      <w:marTop w:val="0"/>
      <w:marBottom w:val="0"/>
      <w:divBdr>
        <w:top w:val="none" w:sz="0" w:space="0" w:color="auto"/>
        <w:left w:val="none" w:sz="0" w:space="0" w:color="auto"/>
        <w:bottom w:val="none" w:sz="0" w:space="0" w:color="auto"/>
        <w:right w:val="none" w:sz="0" w:space="0" w:color="auto"/>
      </w:divBdr>
    </w:div>
    <w:div w:id="1575310880">
      <w:bodyDiv w:val="1"/>
      <w:marLeft w:val="0"/>
      <w:marRight w:val="0"/>
      <w:marTop w:val="0"/>
      <w:marBottom w:val="0"/>
      <w:divBdr>
        <w:top w:val="none" w:sz="0" w:space="0" w:color="auto"/>
        <w:left w:val="none" w:sz="0" w:space="0" w:color="auto"/>
        <w:bottom w:val="none" w:sz="0" w:space="0" w:color="auto"/>
        <w:right w:val="none" w:sz="0" w:space="0" w:color="auto"/>
      </w:divBdr>
    </w:div>
    <w:div w:id="1637178311">
      <w:bodyDiv w:val="1"/>
      <w:marLeft w:val="0"/>
      <w:marRight w:val="0"/>
      <w:marTop w:val="0"/>
      <w:marBottom w:val="0"/>
      <w:divBdr>
        <w:top w:val="none" w:sz="0" w:space="0" w:color="auto"/>
        <w:left w:val="none" w:sz="0" w:space="0" w:color="auto"/>
        <w:bottom w:val="none" w:sz="0" w:space="0" w:color="auto"/>
        <w:right w:val="none" w:sz="0" w:space="0" w:color="auto"/>
      </w:divBdr>
    </w:div>
    <w:div w:id="163961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B4AE8-A7F6-41E8-8E1E-283B9696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6646</Words>
  <Characters>36559</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dc:creator>
  <cp:lastModifiedBy>Meggane HAMMERSCHMIDT</cp:lastModifiedBy>
  <cp:revision>2</cp:revision>
  <cp:lastPrinted>2019-03-22T15:02:00Z</cp:lastPrinted>
  <dcterms:created xsi:type="dcterms:W3CDTF">2019-05-06T13:33:00Z</dcterms:created>
  <dcterms:modified xsi:type="dcterms:W3CDTF">2019-05-06T13:33:00Z</dcterms:modified>
</cp:coreProperties>
</file>